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1.10 What is Not Evidence</w:t>
      </w:r>
    </w:p>
    <w:p>
      <w:pPr>
        <w:spacing w:after="240"/>
        <w:ind w:firstLine="720"/>
      </w:pPr>
      <w:r>
        <w:rPr>
          <w:rFonts w:ascii="Times New Roman" w:hAnsi="Times New Roman"/>
          <w:sz w:val="24"/>
        </w:rPr>
        <w:t>In reaching your verdict, you may consider only the testimony and exhibits received into evidence. Certain things are not evidence, and you may not consider them in deciding what the facts are. I will list them for you:</w:t>
      </w:r>
    </w:p>
    <w:p>
      <w:pPr>
        <w:spacing w:after="240"/>
        <w:ind w:firstLine="720"/>
      </w:pPr>
      <w:r>
        <w:rPr>
          <w:rFonts w:ascii="Times New Roman" w:hAnsi="Times New Roman"/>
          <w:sz w:val="24"/>
        </w:rPr>
        <w:t>(1)</w:t>
        <w:tab/>
        <w:t>Arguments and statements by lawyers are not evidence. The lawyers are not witnesses. What they [may say] [have said] in their opening statements, closing arguments and at other times is intended to help you interpret the evidence, but it is not evidence. If the facts as you remember them differ from the way the lawyers have stated them, your memory of them controls.</w:t>
      </w:r>
    </w:p>
    <w:p>
      <w:pPr>
        <w:spacing w:after="240"/>
        <w:ind w:firstLine="720"/>
      </w:pPr>
      <w:r>
        <w:rPr>
          <w:rFonts w:ascii="Times New Roman" w:hAnsi="Times New Roman"/>
          <w:sz w:val="24"/>
        </w:rPr>
        <w:t>(2)</w:t>
        <w:tab/>
        <w:t>Questions and objections by lawyers are not evidence. Attorneys have a duty to their clients to object when they believe a question is improper under the rules of evidence. You should not be influenced by the objection or by the court’s ruling on it.</w:t>
      </w:r>
    </w:p>
    <w:p>
      <w:pPr>
        <w:spacing w:after="240"/>
        <w:ind w:firstLine="720"/>
      </w:pPr>
      <w:r>
        <w:rPr>
          <w:rFonts w:ascii="Times New Roman" w:hAnsi="Times New Roman"/>
          <w:sz w:val="24"/>
        </w:rPr>
        <w:t>(3)</w:t>
        <w:tab/>
        <w:t>Testimony that is excluded or stricken, or that you [are] [have been] instructed to disregard, is not evidence and must not be considered. In addition, some evidence [may be] [was] received only for a limited purpose; when I [instruct] [have instructed] you to consider certain evidence only for a limited purpose, you must do so, and you may not consider that evidence for any other purpose.</w:t>
      </w:r>
    </w:p>
    <w:p>
      <w:pPr>
        <w:spacing w:after="240"/>
        <w:ind w:firstLine="720"/>
      </w:pPr>
      <w:r>
        <w:rPr>
          <w:rFonts w:ascii="Times New Roman" w:hAnsi="Times New Roman"/>
          <w:sz w:val="24"/>
        </w:rPr>
        <w:t>(4)</w:t>
        <w:tab/>
        <w:t>Anything you may [see or hear] [have seen or heard] when the court was not in session is not evidence. You are to decide the case solely on the evidence received at the trial.</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With regard to the bracketed material in paragraph 3, select the appropriate bracket depending on whether the instruction is given at the beginning or at the end of the case. </w:t>
      </w:r>
      <w:r>
        <w:rPr>
          <w:rFonts w:ascii="Times New Roman" w:hAnsi="Times New Roman"/>
          <w:i/>
          <w:sz w:val="24"/>
        </w:rPr>
        <w:t>See also</w:t>
      </w:r>
      <w:r>
        <w:rPr>
          <w:rFonts w:ascii="Times New Roman" w:hAnsi="Times New Roman"/>
          <w:sz w:val="24"/>
        </w:rPr>
        <w:t xml:space="preserve"> Instruction 1.11 (Evidence for Limited Purpose).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