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1.11 Evidence for Limited Purpose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Some evidence may be admitted only for a limited purpose.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When I instruct you that an item of evidence has been admitted only for a limited purpose, you must consider it only for that limited purpose and not for any other purpose.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[The testimony [you are about to hear] [you have just heard] may be considered only for the limited purpose of [</w:t>
      </w:r>
      <w:r>
        <w:rPr>
          <w:rFonts w:ascii="Times New Roman" w:hAnsi="Times New Roman"/>
          <w:i/>
          <w:sz w:val="24"/>
          <w:u w:val="single"/>
        </w:rPr>
        <w:t>describe purpose</w:t>
      </w:r>
      <w:r>
        <w:rPr>
          <w:rFonts w:ascii="Times New Roman" w:hAnsi="Times New Roman"/>
          <w:sz w:val="24"/>
        </w:rPr>
        <w:t>] and not for any other purpose.]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As a rule, limiting instructions need only be given when requested and need not be given </w:t>
      </w:r>
      <w:r>
        <w:rPr>
          <w:rFonts w:ascii="Times New Roman" w:hAnsi="Times New Roman"/>
          <w:i/>
          <w:sz w:val="24"/>
        </w:rPr>
        <w:t xml:space="preserve">sua sponte </w:t>
      </w:r>
      <w:r>
        <w:rPr>
          <w:rFonts w:ascii="Times New Roman" w:hAnsi="Times New Roman"/>
          <w:sz w:val="24"/>
        </w:rPr>
        <w:t xml:space="preserve">by the court. </w:t>
      </w:r>
      <w:r>
        <w:rPr>
          <w:rFonts w:ascii="Times New Roman" w:hAnsi="Times New Roman"/>
          <w:i/>
          <w:sz w:val="24"/>
        </w:rPr>
        <w:t>United States v. Palmer</w:t>
      </w:r>
      <w:r>
        <w:rPr>
          <w:rFonts w:ascii="Times New Roman" w:hAnsi="Times New Roman"/>
          <w:sz w:val="24"/>
        </w:rPr>
        <w:t xml:space="preserve">, 691 F.2d 921, 923 (9th Cir. 1982) (citing </w:t>
      </w:r>
      <w:r>
        <w:rPr>
          <w:rFonts w:ascii="Times New Roman" w:hAnsi="Times New Roman"/>
          <w:i/>
          <w:sz w:val="24"/>
        </w:rPr>
        <w:t>United States v. McLennan</w:t>
      </w:r>
      <w:r>
        <w:rPr>
          <w:rFonts w:ascii="Times New Roman" w:hAnsi="Times New Roman"/>
          <w:sz w:val="24"/>
        </w:rPr>
        <w:t>, 563 F.2d 943, 947-48 (9th Cir. 1977)).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See United States v. Marsh</w:t>
      </w:r>
      <w:r>
        <w:rPr>
          <w:rFonts w:ascii="Times New Roman" w:hAnsi="Times New Roman"/>
          <w:sz w:val="24"/>
        </w:rPr>
        <w:t>, 144 F.3d 1229, 1238 (9th Cir. 1998) (when the trial court fails to instruct the jury in its final instructions regarding receipt of evidence for a limited purpose, the Ninth Circuit examines the trial court’s preliminary instructions to determine if the court instructed the jury on this issue).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 xml:space="preserve">See also </w:t>
      </w:r>
      <w:r>
        <w:rPr>
          <w:rFonts w:ascii="Times New Roman" w:hAnsi="Times New Roman"/>
          <w:sz w:val="24"/>
        </w:rPr>
        <w:t>Instructions 1.10 (What is Not Evidence) and 2.10 (Impeachment Evidence—Witness).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March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