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1.20 Bench Conferences and Recesses</w:t>
      </w:r>
    </w:p>
    <w:p>
      <w:pPr>
        <w:spacing w:after="240"/>
        <w:ind w:firstLine="720"/>
      </w:pPr>
      <w:r>
        <w:rPr>
          <w:rFonts w:ascii="Times New Roman" w:hAnsi="Times New Roman"/>
          <w:sz w:val="24"/>
        </w:rPr>
        <w:t>From time to time during the trial, it [may become] [became] necessary for me to talk with the attorneys out of the hearing of the jury, either by having a conference at the bench when the jury [is] [was] present in the courtroom, or by calling a recess. Please understand that while you [are] [were] waiting, we [are] [were] working. The purpose of these conferences is not to keep relevant information from you, but to decide how certain evidence is to be treated under the rules of evidence and to avoid confusion and error.</w:t>
      </w:r>
    </w:p>
    <w:p>
      <w:pPr>
        <w:spacing w:after="240"/>
        <w:ind w:firstLine="720"/>
      </w:pPr>
      <w:r>
        <w:rPr>
          <w:rFonts w:ascii="Times New Roman" w:hAnsi="Times New Roman"/>
          <w:sz w:val="24"/>
        </w:rPr>
        <w:t>Of course, we [will do] [have done] what we [can] [could] to keep the number and length of these conferences to a minimum. I [may] [did] not always grant an attorney’s request for a conference. Do not consider my granting or denying a request for a conference as any indication of my opinion of the case or of what your verdict should be.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