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1.22 Self-Represented Party</w:t>
      </w:r>
    </w:p>
    <w:p>
      <w:pPr>
        <w:spacing w:after="240"/>
        <w:ind w:firstLine="720"/>
      </w:pPr>
      <w:r>
        <w:rPr>
          <w:rFonts w:ascii="Times New Roman" w:hAnsi="Times New Roman"/>
          <w:sz w:val="24"/>
        </w:rPr>
        <w:t>[</w:t>
      </w:r>
      <w:r>
        <w:rPr>
          <w:rFonts w:ascii="Times New Roman" w:hAnsi="Times New Roman"/>
          <w:i/>
          <w:sz w:val="24"/>
          <w:u w:val="single"/>
        </w:rPr>
        <w:t>Name of party</w:t>
      </w:r>
      <w:r>
        <w:rPr>
          <w:rFonts w:ascii="Times New Roman" w:hAnsi="Times New Roman"/>
          <w:sz w:val="24"/>
        </w:rPr>
        <w:t>] is representing [himself] [herself] [</w:t>
      </w:r>
      <w:r>
        <w:rPr>
          <w:rFonts w:ascii="Times New Roman" w:hAnsi="Times New Roman"/>
          <w:i/>
          <w:sz w:val="24"/>
          <w:u w:val="single"/>
        </w:rPr>
        <w:t>other pronoun</w:t>
      </w:r>
      <w:r>
        <w:rPr>
          <w:rFonts w:ascii="Times New Roman" w:hAnsi="Times New Roman"/>
          <w:sz w:val="24"/>
        </w:rPr>
        <w:t>] in this trial. This fact must not affect your consideration of the case. Self-represented parties and parties represented by an attorney are entitled to the same fair consideration.</w:t>
      </w:r>
    </w:p>
    <w:p>
      <w:pPr>
        <w:spacing w:after="240"/>
        <w:ind w:firstLine="720"/>
      </w:pPr>
      <w:r>
        <w:rPr>
          <w:rFonts w:ascii="Times New Roman" w:hAnsi="Times New Roman"/>
          <w:sz w:val="24"/>
        </w:rPr>
        <w:t>Because [</w:t>
      </w:r>
      <w:r>
        <w:rPr>
          <w:rFonts w:ascii="Times New Roman" w:hAnsi="Times New Roman"/>
          <w:i/>
          <w:sz w:val="24"/>
          <w:u w:val="single"/>
        </w:rPr>
        <w:t>name of party</w:t>
      </w:r>
      <w:r>
        <w:rPr>
          <w:rFonts w:ascii="Times New Roman" w:hAnsi="Times New Roman"/>
          <w:sz w:val="24"/>
        </w:rPr>
        <w:t>] is acting as [his] [her] [</w:t>
      </w:r>
      <w:r>
        <w:rPr>
          <w:rFonts w:ascii="Times New Roman" w:hAnsi="Times New Roman"/>
          <w:i/>
          <w:sz w:val="24"/>
          <w:u w:val="single"/>
        </w:rPr>
        <w:t>other pronoun</w:t>
      </w:r>
      <w:r>
        <w:rPr>
          <w:rFonts w:ascii="Times New Roman" w:hAnsi="Times New Roman"/>
          <w:sz w:val="24"/>
        </w:rPr>
        <w:t>] own lawyer, you will hear [him] [her] [</w:t>
      </w:r>
      <w:r>
        <w:rPr>
          <w:rFonts w:ascii="Times New Roman" w:hAnsi="Times New Roman"/>
          <w:i/>
          <w:sz w:val="24"/>
          <w:u w:val="single"/>
        </w:rPr>
        <w:t>other pronoun</w:t>
      </w:r>
      <w:r>
        <w:rPr>
          <w:rFonts w:ascii="Times New Roman" w:hAnsi="Times New Roman"/>
          <w:sz w:val="24"/>
        </w:rPr>
        <w:t>] speak at various times during the trial. [He] [She] [</w:t>
      </w:r>
      <w:r>
        <w:rPr>
          <w:rFonts w:ascii="Times New Roman" w:hAnsi="Times New Roman"/>
          <w:i/>
          <w:sz w:val="24"/>
          <w:u w:val="single"/>
        </w:rPr>
        <w:t>other pronoun</w:t>
      </w:r>
      <w:r>
        <w:rPr>
          <w:rFonts w:ascii="Times New Roman" w:hAnsi="Times New Roman"/>
          <w:sz w:val="24"/>
        </w:rPr>
        <w:t>] may make an opening statement and closing argument and may ask questions of witnesses, make objections, and argue legal issues to the court. I want to remind you that when [</w:t>
      </w:r>
      <w:r>
        <w:rPr>
          <w:rFonts w:ascii="Times New Roman" w:hAnsi="Times New Roman"/>
          <w:i/>
          <w:sz w:val="24"/>
          <w:u w:val="single"/>
        </w:rPr>
        <w:t>name of party</w:t>
      </w:r>
      <w:r>
        <w:rPr>
          <w:rFonts w:ascii="Times New Roman" w:hAnsi="Times New Roman"/>
          <w:sz w:val="24"/>
        </w:rPr>
        <w:t>] speaks in these parts of the trial, [he] [she] [</w:t>
      </w:r>
      <w:r>
        <w:rPr>
          <w:rFonts w:ascii="Times New Roman" w:hAnsi="Times New Roman"/>
          <w:i/>
          <w:sz w:val="24"/>
          <w:u w:val="single"/>
        </w:rPr>
        <w:t>other pronoun</w:t>
      </w:r>
      <w:r>
        <w:rPr>
          <w:rFonts w:ascii="Times New Roman" w:hAnsi="Times New Roman"/>
          <w:sz w:val="24"/>
        </w:rPr>
        <w:t>] is acting as [his] [her] [</w:t>
      </w:r>
      <w:r>
        <w:rPr>
          <w:rFonts w:ascii="Times New Roman" w:hAnsi="Times New Roman"/>
          <w:i/>
          <w:sz w:val="24"/>
          <w:u w:val="single"/>
        </w:rPr>
        <w:t>other pronoun</w:t>
      </w:r>
      <w:r>
        <w:rPr>
          <w:rFonts w:ascii="Times New Roman" w:hAnsi="Times New Roman"/>
          <w:sz w:val="24"/>
        </w:rPr>
        <w:t>] own advocate, and [his] [her] [</w:t>
      </w:r>
      <w:r>
        <w:rPr>
          <w:rFonts w:ascii="Times New Roman" w:hAnsi="Times New Roman"/>
          <w:i/>
          <w:sz w:val="24"/>
          <w:u w:val="single"/>
        </w:rPr>
        <w:t>other pronoun</w:t>
      </w:r>
      <w:r>
        <w:rPr>
          <w:rFonts w:ascii="Times New Roman" w:hAnsi="Times New Roman"/>
          <w:sz w:val="24"/>
        </w:rPr>
        <w:t>] words are not evidence. The only evidence in this case comes from witnesses who testify under oath on the witness stand or by deposition and from exhibits that are admitted into evidence. When a self-represented party testifies, you should treat this testimony just as you would the testimony of any other witness.</w:t>
      </w:r>
    </w:p>
    <w:p>
      <w:pPr>
        <w:spacing w:after="240"/>
        <w:ind w:firstLine="720"/>
      </w:pPr>
      <w:r>
        <w:rPr>
          <w:rFonts w:ascii="Times New Roman" w:hAnsi="Times New Roman"/>
          <w:i/>
          <w:sz w:val="24"/>
        </w:rPr>
        <w:t>Added Dec.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