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10.9 “Hostile Work Environment” Defined</w:t>
      </w:r>
    </w:p>
    <w:p>
      <w:pPr>
        <w:spacing w:after="240"/>
        <w:ind w:firstLine="720"/>
      </w:pPr>
      <w:r>
        <w:rPr>
          <w:rFonts w:ascii="Times New Roman" w:hAnsi="Times New Roman"/>
          <w:sz w:val="24"/>
        </w:rPr>
        <w:t>In determining whether the plaintiff [</w:t>
      </w:r>
      <w:r>
        <w:rPr>
          <w:rFonts w:ascii="Times New Roman" w:hAnsi="Times New Roman"/>
          <w:i/>
          <w:sz w:val="24"/>
          <w:u w:val="single"/>
        </w:rPr>
        <w:t>name</w:t>
      </w:r>
      <w:r>
        <w:rPr>
          <w:rFonts w:ascii="Times New Roman" w:hAnsi="Times New Roman"/>
          <w:sz w:val="24"/>
        </w:rPr>
        <w:t>] was subjected to a [sexually] [racially] [</w:t>
      </w:r>
      <w:r>
        <w:rPr>
          <w:rFonts w:ascii="Times New Roman" w:hAnsi="Times New Roman"/>
          <w:i/>
          <w:sz w:val="24"/>
          <w:u w:val="single"/>
        </w:rPr>
        <w:t>other protected category</w:t>
      </w:r>
      <w:r>
        <w:rPr>
          <w:rFonts w:ascii="Times New Roman" w:hAnsi="Times New Roman"/>
          <w:sz w:val="24"/>
        </w:rPr>
        <w:t>] hostile work environment, you should consider three factors:</w:t>
      </w:r>
    </w:p>
    <w:p>
      <w:pPr>
        <w:spacing w:after="240"/>
        <w:ind w:firstLine="720"/>
      </w:pPr>
      <w:r>
        <w:rPr>
          <w:rFonts w:ascii="Times New Roman" w:hAnsi="Times New Roman"/>
          <w:sz w:val="24"/>
        </w:rPr>
        <w:t xml:space="preserve">&gt; (1) </w:t>
        <w:tab/>
        <w:t>whether the plaintiff [</w:t>
      </w:r>
      <w:r>
        <w:rPr>
          <w:rFonts w:ascii="Times New Roman" w:hAnsi="Times New Roman"/>
          <w:i/>
          <w:sz w:val="24"/>
          <w:u w:val="single"/>
        </w:rPr>
        <w:t>name</w:t>
      </w:r>
      <w:r>
        <w:rPr>
          <w:rFonts w:ascii="Times New Roman" w:hAnsi="Times New Roman"/>
          <w:sz w:val="24"/>
        </w:rPr>
        <w:t>] was subjected to verbal or physical conduct [of a sexual nature], or to verbal or physical conduct evincing hostility on the basis of [race] [</w:t>
      </w:r>
      <w:r>
        <w:rPr>
          <w:rFonts w:ascii="Times New Roman" w:hAnsi="Times New Roman"/>
          <w:i/>
          <w:sz w:val="24"/>
          <w:u w:val="single"/>
        </w:rPr>
        <w:t>other protected category</w:t>
      </w:r>
      <w:r>
        <w:rPr>
          <w:rFonts w:ascii="Times New Roman" w:hAnsi="Times New Roman"/>
          <w:sz w:val="24"/>
        </w:rPr>
        <w:t>];</w:t>
      </w:r>
    </w:p>
    <w:p>
      <w:pPr>
        <w:spacing w:after="240"/>
        <w:ind w:firstLine="720"/>
      </w:pPr>
      <w:r>
        <w:rPr>
          <w:rFonts w:ascii="Times New Roman" w:hAnsi="Times New Roman"/>
          <w:sz w:val="24"/>
        </w:rPr>
        <w:t xml:space="preserve">&gt; (2) </w:t>
        <w:tab/>
        <w:t>whether the conduct was unwelcome; and</w:t>
      </w:r>
    </w:p>
    <w:p>
      <w:pPr>
        <w:spacing w:after="240"/>
        <w:ind w:firstLine="720"/>
      </w:pPr>
      <w:r>
        <w:rPr>
          <w:rFonts w:ascii="Times New Roman" w:hAnsi="Times New Roman"/>
          <w:sz w:val="24"/>
        </w:rPr>
        <w:t>&gt; (3)</w:t>
        <w:tab/>
        <w:t xml:space="preserve"> whether the conduct was sufficiently severe or pervasive to alter the conditions of employment and create an abusive working environment.</w:t>
      </w:r>
    </w:p>
    <w:p>
      <w:pPr>
        <w:spacing w:after="240"/>
        <w:ind w:firstLine="720"/>
      </w:pPr>
      <w:r>
        <w:rPr>
          <w:rFonts w:ascii="Times New Roman" w:hAnsi="Times New Roman"/>
          <w:sz w:val="24"/>
        </w:rPr>
        <w:t>The third factor requires the plaintiff to show that the work environment was both subjectively and objectively hostile. In analyzing the objective hostility of a working environment, you should look to the totality of the circumstances surrounding the plaintiff’s claim. That includes assessing the frequency of the discriminatory conduct; its severity; whether it was physically threatening or humiliating, or a mere offensive utterance; and whether it unreasonably interfered with an employee’s work performance. In considering the totality of the circumstances, “[n]o single factor in this non-exhaustive list is required.” You should also consider that the required level of severity or seriousness varies inversely with the pervasiveness or frequency of the conduct and the cumulative effect of conduct over time. In all cases, simple teasing, offhand comments, and isolated incidents (unless extremely serious) will not trigger Title VII’s protections.</w:t>
      </w:r>
    </w:p>
    <w:p>
      <w:pPr>
        <w:spacing w:after="240"/>
        <w:ind w:firstLine="720"/>
      </w:pPr>
      <w:r>
        <w:rPr>
          <w:rFonts w:ascii="Times New Roman" w:hAnsi="Times New Roman"/>
          <w:sz w:val="24"/>
        </w:rPr>
        <w:t>[In addition, conduct that took place outside of the physical work environment is part of the totality of the circumstances that you may evaluate when considering a hostile work environment claim.]</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is based on the law of a sexually hostile work environment as explained in </w:t>
      </w:r>
      <w:r>
        <w:rPr>
          <w:rFonts w:ascii="Times New Roman" w:hAnsi="Times New Roman"/>
          <w:i/>
          <w:sz w:val="24"/>
        </w:rPr>
        <w:t>Okonowsky v. Garland</w:t>
      </w:r>
      <w:r>
        <w:rPr>
          <w:rFonts w:ascii="Times New Roman" w:hAnsi="Times New Roman"/>
          <w:sz w:val="24"/>
        </w:rPr>
        <w:t>, 109 F.4th 1166 (9th Cir. 2024).</w:t>
      </w:r>
    </w:p>
    <w:p>
      <w:pPr>
        <w:spacing w:after="240"/>
        <w:ind w:firstLine="720"/>
      </w:pPr>
      <w:r>
        <w:rPr>
          <w:rFonts w:ascii="Times New Roman" w:hAnsi="Times New Roman"/>
          <w:sz w:val="24"/>
        </w:rPr>
        <w:t>For an analogous instruction regarding the subjective element or plaintiff’s perception, see Instruction 10.6 (Civil Rights—Title VII—Hostile Work Environment—Harassment Because of Protected Characteristics—Elements).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