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11.13 Age Discrimination—Damages—Back Pay—Mitigation</w:t>
      </w:r>
    </w:p>
    <w:p>
      <w:pPr>
        <w:spacing w:after="240"/>
        <w:ind w:firstLine="720"/>
      </w:pPr>
      <w:r>
        <w:rPr>
          <w:rFonts w:ascii="Times New Roman" w:hAnsi="Times New Roman"/>
          <w:sz w:val="24"/>
        </w:rPr>
        <w:t>If you find for the plaintiff [</w:t>
      </w:r>
      <w:r>
        <w:rPr>
          <w:rFonts w:ascii="Times New Roman" w:hAnsi="Times New Roman"/>
          <w:i/>
          <w:sz w:val="24"/>
          <w:u w:val="single"/>
        </w:rPr>
        <w:t>name</w:t>
      </w:r>
      <w:r>
        <w:rPr>
          <w:rFonts w:ascii="Times New Roman" w:hAnsi="Times New Roman"/>
          <w:sz w:val="24"/>
        </w:rPr>
        <w:t>] [on the plaintiff’s ADEA claim], you must determine the plaintiff [</w:t>
      </w:r>
      <w:r>
        <w:rPr>
          <w:rFonts w:ascii="Times New Roman" w:hAnsi="Times New Roman"/>
          <w:i/>
          <w:sz w:val="24"/>
          <w:u w:val="single"/>
        </w:rPr>
        <w:t>name</w:t>
      </w:r>
      <w:r>
        <w:rPr>
          <w:rFonts w:ascii="Times New Roman" w:hAnsi="Times New Roman"/>
          <w:sz w:val="24"/>
        </w:rPr>
        <w:t>]’s damages. Damages means the amount of money that will reasonably and fairly compensate the plaintiff for any loss of [pay] [wages] [benefits] you find was caused by the discriminatory act of the defendant [</w:t>
      </w:r>
      <w:r>
        <w:rPr>
          <w:rFonts w:ascii="Times New Roman" w:hAnsi="Times New Roman"/>
          <w:i/>
          <w:sz w:val="24"/>
          <w:u w:val="single"/>
        </w:rPr>
        <w:t>name</w:t>
      </w:r>
      <w:r>
        <w:rPr>
          <w:rFonts w:ascii="Times New Roman" w:hAnsi="Times New Roman"/>
          <w:sz w:val="24"/>
        </w:rPr>
        <w:t>]. You may award the following:</w:t>
      </w:r>
    </w:p>
    <w:p>
      <w:pPr>
        <w:spacing w:after="240"/>
        <w:ind w:firstLine="720"/>
      </w:pPr>
      <w:r>
        <w:rPr>
          <w:rFonts w:ascii="Times New Roman" w:hAnsi="Times New Roman"/>
          <w:sz w:val="24"/>
        </w:rPr>
        <w:t>Back Pay:</w:t>
      </w:r>
    </w:p>
    <w:p>
      <w:pPr>
        <w:spacing w:after="240"/>
        <w:ind w:firstLine="720"/>
      </w:pPr>
      <w:r>
        <w:rPr>
          <w:rFonts w:ascii="Times New Roman" w:hAnsi="Times New Roman"/>
          <w:sz w:val="24"/>
        </w:rPr>
        <w:t>&gt; 1.</w:t>
        <w:tab/>
        <w:t>Award: Back pay includes any [back wages] [lost pay] [and employee benefits] the plaintiff would have received from the date the defendant [</w:t>
      </w:r>
      <w:r>
        <w:rPr>
          <w:rFonts w:ascii="Times New Roman" w:hAnsi="Times New Roman"/>
          <w:i/>
          <w:sz w:val="24"/>
          <w:u w:val="single"/>
        </w:rPr>
        <w:t>name</w:t>
      </w:r>
      <w:r>
        <w:rPr>
          <w:rFonts w:ascii="Times New Roman" w:hAnsi="Times New Roman"/>
          <w:sz w:val="24"/>
        </w:rPr>
        <w:t>] [discharged] [failed to hire] [failed to promote] [demoted] [</w:t>
      </w:r>
      <w:r>
        <w:rPr>
          <w:rFonts w:ascii="Times New Roman" w:hAnsi="Times New Roman"/>
          <w:i/>
          <w:sz w:val="24"/>
          <w:u w:val="single"/>
        </w:rPr>
        <w:t>state other adverse employment action</w:t>
      </w:r>
      <w:r>
        <w:rPr>
          <w:rFonts w:ascii="Times New Roman" w:hAnsi="Times New Roman"/>
          <w:sz w:val="24"/>
        </w:rPr>
        <w:t>] the plaintiff [</w:t>
      </w:r>
      <w:r>
        <w:rPr>
          <w:rFonts w:ascii="Times New Roman" w:hAnsi="Times New Roman"/>
          <w:i/>
          <w:sz w:val="24"/>
          <w:u w:val="single"/>
        </w:rPr>
        <w:t>name</w:t>
      </w:r>
      <w:r>
        <w:rPr>
          <w:rFonts w:ascii="Times New Roman" w:hAnsi="Times New Roman"/>
          <w:sz w:val="24"/>
        </w:rPr>
        <w:t>] to the [date of trial] [date the plaintiff [declined] [accepted] reinstatement]]. The plaintiff [</w:t>
      </w:r>
      <w:r>
        <w:rPr>
          <w:rFonts w:ascii="Times New Roman" w:hAnsi="Times New Roman"/>
          <w:i/>
          <w:sz w:val="24"/>
          <w:u w:val="single"/>
        </w:rPr>
        <w:t>name</w:t>
      </w:r>
      <w:r>
        <w:rPr>
          <w:rFonts w:ascii="Times New Roman" w:hAnsi="Times New Roman"/>
          <w:sz w:val="24"/>
        </w:rPr>
        <w:t>] has the burden of proving both the existence and the amount of back pay by a preponderance of the evidence.</w:t>
      </w:r>
    </w:p>
    <w:p>
      <w:pPr>
        <w:spacing w:after="240"/>
        <w:ind w:firstLine="720"/>
      </w:pPr>
      <w:r>
        <w:rPr>
          <w:rFonts w:ascii="Times New Roman" w:hAnsi="Times New Roman"/>
          <w:sz w:val="24"/>
        </w:rPr>
        <w:t>&gt; 2.</w:t>
        <w:tab/>
        <w:t>Mitigation of Back Pay Award: The plaintiff [</w:t>
      </w:r>
      <w:r>
        <w:rPr>
          <w:rFonts w:ascii="Times New Roman" w:hAnsi="Times New Roman"/>
          <w:i/>
          <w:sz w:val="24"/>
          <w:u w:val="single"/>
        </w:rPr>
        <w:t>name</w:t>
      </w:r>
      <w:r>
        <w:rPr>
          <w:rFonts w:ascii="Times New Roman" w:hAnsi="Times New Roman"/>
          <w:sz w:val="24"/>
        </w:rPr>
        <w:t>] has a duty to undertake reasonable measures to minimize [his] [her] [</w:t>
      </w:r>
      <w:r>
        <w:rPr>
          <w:rFonts w:ascii="Times New Roman" w:hAnsi="Times New Roman"/>
          <w:i/>
          <w:sz w:val="24"/>
          <w:u w:val="single"/>
        </w:rPr>
        <w:t>other pronoun</w:t>
      </w:r>
      <w:r>
        <w:rPr>
          <w:rFonts w:ascii="Times New Roman" w:hAnsi="Times New Roman"/>
          <w:sz w:val="24"/>
        </w:rPr>
        <w:t>] damages and the defendant [</w:t>
      </w:r>
      <w:r>
        <w:rPr>
          <w:rFonts w:ascii="Times New Roman" w:hAnsi="Times New Roman"/>
          <w:i/>
          <w:sz w:val="24"/>
          <w:u w:val="single"/>
        </w:rPr>
        <w:t>name</w:t>
      </w:r>
      <w:r>
        <w:rPr>
          <w:rFonts w:ascii="Times New Roman" w:hAnsi="Times New Roman"/>
          <w:sz w:val="24"/>
        </w:rPr>
        <w:t>] is not required to compensate the plaintiff [</w:t>
      </w:r>
      <w:r>
        <w:rPr>
          <w:rFonts w:ascii="Times New Roman" w:hAnsi="Times New Roman"/>
          <w:i/>
          <w:sz w:val="24"/>
          <w:u w:val="single"/>
        </w:rPr>
        <w:t>name</w:t>
      </w:r>
      <w:r>
        <w:rPr>
          <w:rFonts w:ascii="Times New Roman" w:hAnsi="Times New Roman"/>
          <w:sz w:val="24"/>
        </w:rPr>
        <w:t>] for avoidable damages. Thus, your award of back pay should be reduced by the amount of damages that the plaintiff [</w:t>
      </w:r>
      <w:r>
        <w:rPr>
          <w:rFonts w:ascii="Times New Roman" w:hAnsi="Times New Roman"/>
          <w:i/>
          <w:sz w:val="24"/>
          <w:u w:val="single"/>
        </w:rPr>
        <w:t>name</w:t>
      </w:r>
      <w:r>
        <w:rPr>
          <w:rFonts w:ascii="Times New Roman" w:hAnsi="Times New Roman"/>
          <w:sz w:val="24"/>
        </w:rPr>
        <w:t>] actually avoided, or could have avoided, if [he] [she] [</w:t>
      </w:r>
      <w:r>
        <w:rPr>
          <w:rFonts w:ascii="Times New Roman" w:hAnsi="Times New Roman"/>
          <w:i/>
          <w:sz w:val="24"/>
          <w:u w:val="single"/>
        </w:rPr>
        <w:t>other pronoun</w:t>
      </w:r>
      <w:r>
        <w:rPr>
          <w:rFonts w:ascii="Times New Roman" w:hAnsi="Times New Roman"/>
          <w:sz w:val="24"/>
        </w:rPr>
        <w:t>] had made reasonable efforts. The defendant [</w:t>
      </w:r>
      <w:r>
        <w:rPr>
          <w:rFonts w:ascii="Times New Roman" w:hAnsi="Times New Roman"/>
          <w:i/>
          <w:sz w:val="24"/>
          <w:u w:val="single"/>
        </w:rPr>
        <w:t>name</w:t>
      </w:r>
      <w:r>
        <w:rPr>
          <w:rFonts w:ascii="Times New Roman" w:hAnsi="Times New Roman"/>
          <w:sz w:val="24"/>
        </w:rPr>
        <w:t>] has the burden of proving by a preponderance of the evidence that a reduction should be made and the amount by which the award should reduced.</w:t>
      </w:r>
    </w:p>
    <w:p>
      <w:pPr>
        <w:spacing w:after="240"/>
        <w:ind w:firstLine="720"/>
      </w:pPr>
      <w:r>
        <w:rPr>
          <w:rFonts w:ascii="Times New Roman" w:hAnsi="Times New Roman"/>
          <w:sz w:val="24"/>
        </w:rPr>
        <w:t>Therefore:</w:t>
      </w:r>
    </w:p>
    <w:p>
      <w:pPr>
        <w:spacing w:after="240"/>
        <w:ind w:firstLine="720"/>
      </w:pPr>
      <w:r>
        <w:rPr>
          <w:rFonts w:ascii="Times New Roman" w:hAnsi="Times New Roman"/>
          <w:sz w:val="24"/>
        </w:rPr>
        <w:t>&gt; a. You must deduct any wages or other earnings that the defendant [</w:t>
      </w:r>
      <w:r>
        <w:rPr>
          <w:rFonts w:ascii="Times New Roman" w:hAnsi="Times New Roman"/>
          <w:i/>
          <w:sz w:val="24"/>
          <w:u w:val="single"/>
        </w:rPr>
        <w:t>name</w:t>
      </w:r>
      <w:r>
        <w:rPr>
          <w:rFonts w:ascii="Times New Roman" w:hAnsi="Times New Roman"/>
          <w:sz w:val="24"/>
        </w:rPr>
        <w:t>] proved that the plaintiff [</w:t>
      </w:r>
      <w:r>
        <w:rPr>
          <w:rFonts w:ascii="Times New Roman" w:hAnsi="Times New Roman"/>
          <w:i/>
          <w:sz w:val="24"/>
          <w:u w:val="single"/>
        </w:rPr>
        <w:t>name</w:t>
      </w:r>
      <w:r>
        <w:rPr>
          <w:rFonts w:ascii="Times New Roman" w:hAnsi="Times New Roman"/>
          <w:sz w:val="24"/>
        </w:rPr>
        <w:t>] received from other employment from the date the defendant [</w:t>
      </w:r>
      <w:r>
        <w:rPr>
          <w:rFonts w:ascii="Times New Roman" w:hAnsi="Times New Roman"/>
          <w:i/>
          <w:sz w:val="24"/>
          <w:u w:val="single"/>
        </w:rPr>
        <w:t>name</w:t>
      </w:r>
      <w:r>
        <w:rPr>
          <w:rFonts w:ascii="Times New Roman" w:hAnsi="Times New Roman"/>
          <w:sz w:val="24"/>
        </w:rPr>
        <w:t>] [discharged] [failed to hire] [failed to promote] [demoted] [</w:t>
      </w:r>
      <w:r>
        <w:rPr>
          <w:rFonts w:ascii="Times New Roman" w:hAnsi="Times New Roman"/>
          <w:i/>
          <w:sz w:val="24"/>
          <w:u w:val="single"/>
        </w:rPr>
        <w:t>state other adverse employment action</w:t>
      </w:r>
      <w:r>
        <w:rPr>
          <w:rFonts w:ascii="Times New Roman" w:hAnsi="Times New Roman"/>
          <w:sz w:val="24"/>
        </w:rPr>
        <w:t>] the plaintiff [</w:t>
      </w:r>
      <w:r>
        <w:rPr>
          <w:rFonts w:ascii="Times New Roman" w:hAnsi="Times New Roman"/>
          <w:i/>
          <w:sz w:val="24"/>
          <w:u w:val="single"/>
        </w:rPr>
        <w:t>name</w:t>
      </w:r>
      <w:r>
        <w:rPr>
          <w:rFonts w:ascii="Times New Roman" w:hAnsi="Times New Roman"/>
          <w:sz w:val="24"/>
        </w:rPr>
        <w:t>] to the [date of trial] [date the plaintiff [declined] [accepted] reinstatement].</w:t>
      </w:r>
    </w:p>
    <w:p>
      <w:pPr>
        <w:spacing w:after="240"/>
        <w:ind w:firstLine="720"/>
      </w:pPr>
      <w:r>
        <w:rPr>
          <w:rFonts w:ascii="Times New Roman" w:hAnsi="Times New Roman"/>
          <w:sz w:val="24"/>
        </w:rPr>
        <w:t>&gt; [b. You must deduct any severance pay [and pension benefits] that the defendant [</w:t>
      </w:r>
      <w:r>
        <w:rPr>
          <w:rFonts w:ascii="Times New Roman" w:hAnsi="Times New Roman"/>
          <w:i/>
          <w:sz w:val="24"/>
          <w:u w:val="single"/>
        </w:rPr>
        <w:t>name</w:t>
      </w:r>
      <w:r>
        <w:rPr>
          <w:rFonts w:ascii="Times New Roman" w:hAnsi="Times New Roman"/>
          <w:sz w:val="24"/>
        </w:rPr>
        <w:t>] proved the plaintiff [</w:t>
      </w:r>
      <w:r>
        <w:rPr>
          <w:rFonts w:ascii="Times New Roman" w:hAnsi="Times New Roman"/>
          <w:i/>
          <w:sz w:val="24"/>
          <w:u w:val="single"/>
        </w:rPr>
        <w:t>name</w:t>
      </w:r>
      <w:r>
        <w:rPr>
          <w:rFonts w:ascii="Times New Roman" w:hAnsi="Times New Roman"/>
          <w:sz w:val="24"/>
        </w:rPr>
        <w:t>] received after the discharge.]</w:t>
      </w:r>
    </w:p>
    <w:p>
      <w:pPr>
        <w:spacing w:after="240"/>
        <w:ind w:firstLine="720"/>
      </w:pPr>
      <w:r>
        <w:rPr>
          <w:rFonts w:ascii="Times New Roman" w:hAnsi="Times New Roman"/>
          <w:sz w:val="24"/>
        </w:rPr>
        <w:t>&gt; [b.] [c.] If the defendant [</w:t>
      </w:r>
      <w:r>
        <w:rPr>
          <w:rFonts w:ascii="Times New Roman" w:hAnsi="Times New Roman"/>
          <w:i/>
          <w:sz w:val="24"/>
          <w:u w:val="single"/>
        </w:rPr>
        <w:t>name</w:t>
      </w:r>
      <w:r>
        <w:rPr>
          <w:rFonts w:ascii="Times New Roman" w:hAnsi="Times New Roman"/>
          <w:sz w:val="24"/>
        </w:rPr>
        <w:t>] proves by a preponderance of the evidence either:</w:t>
      </w:r>
    </w:p>
    <w:p>
      <w:pPr>
        <w:spacing w:after="240"/>
        <w:ind w:firstLine="720"/>
      </w:pPr>
      <w:r>
        <w:rPr>
          <w:rFonts w:ascii="Times New Roman" w:hAnsi="Times New Roman"/>
          <w:sz w:val="24"/>
        </w:rPr>
        <w:t>&gt; (i) that the plaintiff [</w:t>
      </w:r>
      <w:r>
        <w:rPr>
          <w:rFonts w:ascii="Times New Roman" w:hAnsi="Times New Roman"/>
          <w:i/>
          <w:sz w:val="24"/>
          <w:u w:val="single"/>
        </w:rPr>
        <w:t>name</w:t>
      </w:r>
      <w:r>
        <w:rPr>
          <w:rFonts w:ascii="Times New Roman" w:hAnsi="Times New Roman"/>
          <w:sz w:val="24"/>
        </w:rPr>
        <w:t>] unjustifiably failed to take a new job of like kind, status, and pay which was available to plaintiff [</w:t>
      </w:r>
      <w:r>
        <w:rPr>
          <w:rFonts w:ascii="Times New Roman" w:hAnsi="Times New Roman"/>
          <w:i/>
          <w:sz w:val="24"/>
          <w:u w:val="single"/>
        </w:rPr>
        <w:t>name</w:t>
      </w:r>
      <w:r>
        <w:rPr>
          <w:rFonts w:ascii="Times New Roman" w:hAnsi="Times New Roman"/>
          <w:sz w:val="24"/>
        </w:rPr>
        <w:t>], or</w:t>
      </w:r>
    </w:p>
    <w:p>
      <w:pPr>
        <w:spacing w:after="240"/>
        <w:ind w:firstLine="720"/>
      </w:pPr>
      <w:r>
        <w:rPr>
          <w:rFonts w:ascii="Times New Roman" w:hAnsi="Times New Roman"/>
          <w:sz w:val="24"/>
        </w:rPr>
        <w:t>&gt; (ii) that the plaintiff [</w:t>
      </w:r>
      <w:r>
        <w:rPr>
          <w:rFonts w:ascii="Times New Roman" w:hAnsi="Times New Roman"/>
          <w:i/>
          <w:sz w:val="24"/>
          <w:u w:val="single"/>
        </w:rPr>
        <w:t>name</w:t>
      </w:r>
      <w:r>
        <w:rPr>
          <w:rFonts w:ascii="Times New Roman" w:hAnsi="Times New Roman"/>
          <w:sz w:val="24"/>
        </w:rPr>
        <w:t>] failed to make reasonable efforts to find such new job;</w:t>
      </w:r>
    </w:p>
    <w:p>
      <w:pPr>
        <w:spacing w:after="240"/>
        <w:ind w:firstLine="720"/>
      </w:pPr>
      <w:r>
        <w:rPr>
          <w:rFonts w:ascii="Times New Roman" w:hAnsi="Times New Roman"/>
          <w:sz w:val="24"/>
        </w:rPr>
        <w:t>&gt; you must subtract from the back pay award the amount of money you find that the plaintiff [</w:t>
      </w:r>
      <w:r>
        <w:rPr>
          <w:rFonts w:ascii="Times New Roman" w:hAnsi="Times New Roman"/>
          <w:i/>
          <w:sz w:val="24"/>
          <w:u w:val="single"/>
        </w:rPr>
        <w:t>name</w:t>
      </w:r>
      <w:r>
        <w:rPr>
          <w:rFonts w:ascii="Times New Roman" w:hAnsi="Times New Roman"/>
          <w:sz w:val="24"/>
        </w:rPr>
        <w:t>] could have earned from the time the plaintiff [</w:t>
      </w:r>
      <w:r>
        <w:rPr>
          <w:rFonts w:ascii="Times New Roman" w:hAnsi="Times New Roman"/>
          <w:i/>
          <w:sz w:val="24"/>
          <w:u w:val="single"/>
        </w:rPr>
        <w:t>name</w:t>
      </w:r>
      <w:r>
        <w:rPr>
          <w:rFonts w:ascii="Times New Roman" w:hAnsi="Times New Roman"/>
          <w:sz w:val="24"/>
        </w:rPr>
        <w:t>] could have obtained such new job [or should have obtained from such new job, had [he] [she] [</w:t>
      </w:r>
      <w:r>
        <w:rPr>
          <w:rFonts w:ascii="Times New Roman" w:hAnsi="Times New Roman"/>
          <w:i/>
          <w:sz w:val="24"/>
          <w:u w:val="single"/>
        </w:rPr>
        <w:t>other pronoun</w:t>
      </w:r>
      <w:r>
        <w:rPr>
          <w:rFonts w:ascii="Times New Roman" w:hAnsi="Times New Roman"/>
          <w:sz w:val="24"/>
        </w:rPr>
        <w:t>] made reasonable efforts to find such new job] to the [date of trial] [date the plaintiff [</w:t>
      </w:r>
      <w:r>
        <w:rPr>
          <w:rFonts w:ascii="Times New Roman" w:hAnsi="Times New Roman"/>
          <w:i/>
          <w:sz w:val="24"/>
          <w:u w:val="single"/>
        </w:rPr>
        <w:t>name</w:t>
      </w:r>
      <w:r>
        <w:rPr>
          <w:rFonts w:ascii="Times New Roman" w:hAnsi="Times New Roman"/>
          <w:sz w:val="24"/>
        </w:rPr>
        <w:t>] [declined] [accepted] reinstatement].]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On the issue of whether or not front pay is an issue for the court or for the jury, see </w:t>
      </w:r>
      <w:r>
        <w:rPr>
          <w:rFonts w:ascii="Times New Roman" w:hAnsi="Times New Roman"/>
          <w:i/>
          <w:sz w:val="24"/>
        </w:rPr>
        <w:t>Traxler v. Multnomah County</w:t>
      </w:r>
      <w:r>
        <w:rPr>
          <w:rFonts w:ascii="Times New Roman" w:hAnsi="Times New Roman"/>
          <w:sz w:val="24"/>
        </w:rPr>
        <w:t xml:space="preserve">, 596 F.3d 1007, 1012-14 (9th Cir. 2010), and </w:t>
      </w:r>
      <w:r>
        <w:rPr>
          <w:rFonts w:ascii="Times New Roman" w:hAnsi="Times New Roman"/>
          <w:i/>
          <w:sz w:val="24"/>
        </w:rPr>
        <w:t>Cassino</w:t>
      </w:r>
      <w:r>
        <w:rPr>
          <w:rFonts w:ascii="Times New Roman" w:hAnsi="Times New Roman"/>
          <w:sz w:val="24"/>
        </w:rPr>
        <w:t xml:space="preserve"> </w:t>
      </w:r>
      <w:r>
        <w:rPr>
          <w:rFonts w:ascii="Times New Roman" w:hAnsi="Times New Roman"/>
          <w:i/>
          <w:sz w:val="24"/>
        </w:rPr>
        <w:t>v. Reichold Chems.</w:t>
      </w:r>
      <w:r>
        <w:rPr>
          <w:rFonts w:ascii="Times New Roman" w:hAnsi="Times New Roman"/>
          <w:sz w:val="24"/>
        </w:rPr>
        <w:t>, 817 F.2d 1338, 1346-47 (9th Cir. 1987). If it is determined that the front pay issue should go to an advisory jury, consider using the following language:</w:t>
      </w:r>
    </w:p>
    <w:p>
      <w:pPr>
        <w:spacing w:after="240"/>
        <w:ind w:firstLine="720"/>
      </w:pPr>
      <w:r>
        <w:rPr>
          <w:rFonts w:ascii="Times New Roman" w:hAnsi="Times New Roman"/>
          <w:sz w:val="24"/>
        </w:rPr>
        <w:t>Front Pay:</w:t>
      </w:r>
    </w:p>
    <w:p>
      <w:pPr>
        <w:spacing w:after="240"/>
        <w:ind w:firstLine="720"/>
      </w:pPr>
      <w:r>
        <w:rPr>
          <w:rFonts w:ascii="Times New Roman" w:hAnsi="Times New Roman"/>
          <w:sz w:val="24"/>
        </w:rPr>
        <w:t>&gt; a.</w:t>
        <w:tab/>
        <w:t>Award: An award for front pay compensates the plaintiff [</w:t>
      </w:r>
      <w:r>
        <w:rPr>
          <w:rFonts w:ascii="Times New Roman" w:hAnsi="Times New Roman"/>
          <w:i/>
          <w:sz w:val="24"/>
          <w:u w:val="single"/>
        </w:rPr>
        <w:t>name</w:t>
      </w:r>
      <w:r>
        <w:rPr>
          <w:rFonts w:ascii="Times New Roman" w:hAnsi="Times New Roman"/>
          <w:sz w:val="24"/>
        </w:rPr>
        <w:t>] for the loss of future [wages] [pay] [and employee benefits] that have been caused by the defendant [</w:t>
      </w:r>
      <w:r>
        <w:rPr>
          <w:rFonts w:ascii="Times New Roman" w:hAnsi="Times New Roman"/>
          <w:i/>
          <w:sz w:val="24"/>
          <w:u w:val="single"/>
        </w:rPr>
        <w:t>name</w:t>
      </w:r>
      <w:r>
        <w:rPr>
          <w:rFonts w:ascii="Times New Roman" w:hAnsi="Times New Roman"/>
          <w:sz w:val="24"/>
        </w:rPr>
        <w:t>]’s discriminatory act. You should award front pay to the plaintiff [</w:t>
      </w:r>
      <w:r>
        <w:rPr>
          <w:rFonts w:ascii="Times New Roman" w:hAnsi="Times New Roman"/>
          <w:i/>
          <w:sz w:val="24"/>
          <w:u w:val="single"/>
        </w:rPr>
        <w:t>name</w:t>
      </w:r>
      <w:r>
        <w:rPr>
          <w:rFonts w:ascii="Times New Roman" w:hAnsi="Times New Roman"/>
          <w:sz w:val="24"/>
        </w:rPr>
        <w:t>] to compensate for these losses. The plaintiff [</w:t>
      </w:r>
      <w:r>
        <w:rPr>
          <w:rFonts w:ascii="Times New Roman" w:hAnsi="Times New Roman"/>
          <w:i/>
          <w:sz w:val="24"/>
          <w:u w:val="single"/>
        </w:rPr>
        <w:t>name</w:t>
      </w:r>
      <w:r>
        <w:rPr>
          <w:rFonts w:ascii="Times New Roman" w:hAnsi="Times New Roman"/>
          <w:sz w:val="24"/>
        </w:rPr>
        <w:t>] bears the burden of proving these losses by a preponderance of the evidence.</w:t>
      </w:r>
    </w:p>
    <w:p>
      <w:pPr>
        <w:spacing w:after="240"/>
        <w:ind w:firstLine="720"/>
      </w:pPr>
      <w:r>
        <w:rPr>
          <w:rFonts w:ascii="Times New Roman" w:hAnsi="Times New Roman"/>
          <w:sz w:val="24"/>
        </w:rPr>
        <w:t>&gt; b.</w:t>
        <w:tab/>
        <w:t>Limit on Front Pay Award: Front pay is intended to be temporary in nature. The plaintiff [</w:t>
      </w:r>
      <w:r>
        <w:rPr>
          <w:rFonts w:ascii="Times New Roman" w:hAnsi="Times New Roman"/>
          <w:i/>
          <w:sz w:val="24"/>
          <w:u w:val="single"/>
        </w:rPr>
        <w:t>name</w:t>
      </w:r>
      <w:r>
        <w:rPr>
          <w:rFonts w:ascii="Times New Roman" w:hAnsi="Times New Roman"/>
          <w:sz w:val="24"/>
        </w:rPr>
        <w:t>] has a duty to make reasonable efforts to obtain a new job of like kind, status, and pay. Thus, you must limit any award of front pay to compensate only for the period of time you find will be necessary for the plaintiff [</w:t>
      </w:r>
      <w:r>
        <w:rPr>
          <w:rFonts w:ascii="Times New Roman" w:hAnsi="Times New Roman"/>
          <w:i/>
          <w:sz w:val="24"/>
          <w:u w:val="single"/>
        </w:rPr>
        <w:t>name</w:t>
      </w:r>
      <w:r>
        <w:rPr>
          <w:rFonts w:ascii="Times New Roman" w:hAnsi="Times New Roman"/>
          <w:sz w:val="24"/>
        </w:rPr>
        <w:t>] to obtain such a job if [he] [she] [</w:t>
      </w:r>
      <w:r>
        <w:rPr>
          <w:rFonts w:ascii="Times New Roman" w:hAnsi="Times New Roman"/>
          <w:i/>
          <w:sz w:val="24"/>
          <w:u w:val="single"/>
        </w:rPr>
        <w:t>other pronoun</w:t>
      </w:r>
      <w:r>
        <w:rPr>
          <w:rFonts w:ascii="Times New Roman" w:hAnsi="Times New Roman"/>
          <w:sz w:val="24"/>
        </w:rPr>
        <w:t>] makes a reasonable effort. The defendant [</w:t>
      </w:r>
      <w:r>
        <w:rPr>
          <w:rFonts w:ascii="Times New Roman" w:hAnsi="Times New Roman"/>
          <w:i/>
          <w:sz w:val="24"/>
          <w:u w:val="single"/>
        </w:rPr>
        <w:t>name</w:t>
      </w:r>
      <w:r>
        <w:rPr>
          <w:rFonts w:ascii="Times New Roman" w:hAnsi="Times New Roman"/>
          <w:sz w:val="24"/>
        </w:rPr>
        <w:t>] has the burden of proving by a preponderance of the evidence that a reduction should be made and the amount by which the award should be reduced.</w:t>
      </w:r>
    </w:p>
    <w:p>
      <w:pPr>
        <w:spacing w:after="240"/>
        <w:ind w:firstLine="720"/>
      </w:pPr>
      <w:r>
        <w:rPr>
          <w:rFonts w:ascii="Times New Roman" w:hAnsi="Times New Roman"/>
          <w:sz w:val="24"/>
        </w:rPr>
        <w:t>&gt; c.</w:t>
        <w:tab/>
        <w:t>Reduction to Present Cash Value: Any award of front pay must also be reduced to the present cash value of the award.</w:t>
      </w:r>
    </w:p>
    <w:p>
      <w:pPr>
        <w:spacing w:after="240"/>
        <w:ind w:firstLine="720"/>
      </w:pPr>
      <w:r>
        <w:rPr>
          <w:rFonts w:ascii="Times New Roman" w:hAnsi="Times New Roman"/>
          <w:sz w:val="24"/>
        </w:rPr>
        <w:t>Present cash value means the sum of money needed now that, when invested at a reasonable rate of return, would be sufficient to pay the front pay at the time in the future when the money would have been earned by the plaintiff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sz w:val="24"/>
        </w:rPr>
        <w:t>The rate of return to be applied in determining present cash value should be the interest that can reasonably be expected from safe investments that can be made by a person of ordinary prudence, who has ordinary financial experience and skill.</w:t>
      </w:r>
    </w:p>
    <w:p>
      <w:pPr>
        <w:spacing w:after="240"/>
        <w:ind w:firstLine="720"/>
      </w:pPr>
      <w:r>
        <w:rPr>
          <w:rFonts w:ascii="Times New Roman" w:hAnsi="Times New Roman"/>
          <w:sz w:val="24"/>
        </w:rPr>
        <w:t>&gt; d.</w:t>
        <w:tab/>
        <w:t>You should also consider decreases in the value of money that may be caused by future inflation.</w:t>
      </w:r>
    </w:p>
    <w:p>
      <w:pPr>
        <w:spacing w:after="240"/>
        <w:ind w:firstLine="720"/>
      </w:pPr>
      <w:r>
        <w:rPr>
          <w:rFonts w:ascii="Times New Roman" w:hAnsi="Times New Roman"/>
          <w:sz w:val="24"/>
        </w:rPr>
        <w:t xml:space="preserve">Unlike a Title VII plaintiff, an ADEA plaintiff has a right to jury trial on the issue of back pay, as well as any mitigation issues.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Lorillard v. Pons</w:t>
      </w:r>
      <w:r>
        <w:rPr>
          <w:rFonts w:ascii="Times New Roman" w:hAnsi="Times New Roman"/>
          <w:sz w:val="24"/>
        </w:rPr>
        <w:t xml:space="preserve">, 434 U.S. 575, 582-83 (1978) (characterizing this remedy as “legal”); </w:t>
      </w:r>
      <w:r>
        <w:rPr>
          <w:rFonts w:ascii="Times New Roman" w:hAnsi="Times New Roman"/>
          <w:i/>
          <w:sz w:val="24"/>
        </w:rPr>
        <w:t>Tamosaitis v. URS Inc.</w:t>
      </w:r>
      <w:r>
        <w:rPr>
          <w:rFonts w:ascii="Times New Roman" w:hAnsi="Times New Roman"/>
          <w:sz w:val="24"/>
        </w:rPr>
        <w:t xml:space="preserve">, 781 F.3d 468, 485 (9th Cir. 2015) (discussing </w:t>
      </w:r>
      <w:r>
        <w:rPr>
          <w:rFonts w:ascii="Times New Roman" w:hAnsi="Times New Roman"/>
          <w:i/>
          <w:sz w:val="24"/>
        </w:rPr>
        <w:t>Lorillard</w:t>
      </w:r>
      <w:r>
        <w:rPr>
          <w:rFonts w:ascii="Times New Roman" w:hAnsi="Times New Roman"/>
          <w:sz w:val="24"/>
        </w:rPr>
        <w:t xml:space="preserve">); </w:t>
      </w:r>
      <w:r>
        <w:rPr>
          <w:rFonts w:ascii="Times New Roman" w:hAnsi="Times New Roman"/>
          <w:i/>
          <w:sz w:val="24"/>
        </w:rPr>
        <w:t>Cassino</w:t>
      </w:r>
      <w:r>
        <w:rPr>
          <w:rFonts w:ascii="Times New Roman" w:hAnsi="Times New Roman"/>
          <w:sz w:val="24"/>
        </w:rPr>
        <w:t>, 817 F.2d at 1346 (9th Cir. 1987) (discussing a jury trial on mitigation).</w:t>
      </w:r>
    </w:p>
    <w:p>
      <w:pPr>
        <w:spacing w:after="240"/>
        <w:ind w:firstLine="720"/>
      </w:pPr>
      <w:r>
        <w:rPr>
          <w:rFonts w:ascii="Times New Roman" w:hAnsi="Times New Roman"/>
          <w:sz w:val="24"/>
        </w:rPr>
        <w:t xml:space="preserve">The remedies provisions of the ADEA incorporate the remedies from the Fair Labor Standards Act (FLSA). </w:t>
      </w:r>
      <w:r>
        <w:rPr>
          <w:rFonts w:ascii="Times New Roman" w:hAnsi="Times New Roman"/>
          <w:i/>
          <w:sz w:val="24"/>
        </w:rPr>
        <w:t>See Lorillard</w:t>
      </w:r>
      <w:r>
        <w:rPr>
          <w:rFonts w:ascii="Times New Roman" w:hAnsi="Times New Roman"/>
          <w:sz w:val="24"/>
        </w:rPr>
        <w:t xml:space="preserve">, 434 U.S. at 578; </w:t>
      </w:r>
      <w:r>
        <w:rPr>
          <w:rFonts w:ascii="Times New Roman" w:hAnsi="Times New Roman"/>
          <w:i/>
          <w:sz w:val="24"/>
        </w:rPr>
        <w:t xml:space="preserve">see also </w:t>
      </w:r>
      <w:r>
        <w:rPr>
          <w:rFonts w:ascii="Times New Roman" w:hAnsi="Times New Roman"/>
          <w:sz w:val="24"/>
        </w:rPr>
        <w:t xml:space="preserve">29 U.S.C. § 626(b) (ADEA remedies provision). Thus, like the FLSA, the ADEA provides for the recovery of “unpaid minimum wages or unpaid overtime compensation,” which includes back pay, liquidated damages and equitable relief. </w:t>
      </w:r>
      <w:r>
        <w:rPr>
          <w:rFonts w:ascii="Times New Roman" w:hAnsi="Times New Roman"/>
          <w:i/>
          <w:sz w:val="24"/>
        </w:rPr>
        <w:t xml:space="preserve">See </w:t>
      </w:r>
      <w:r>
        <w:rPr>
          <w:rFonts w:ascii="Times New Roman" w:hAnsi="Times New Roman"/>
          <w:sz w:val="24"/>
        </w:rPr>
        <w:t>29 U.S.C. § 216 (FLSA remedies provision).</w:t>
      </w:r>
    </w:p>
    <w:p>
      <w:pPr>
        <w:spacing w:after="240"/>
        <w:ind w:firstLine="720"/>
      </w:pPr>
      <w:r>
        <w:rPr>
          <w:rFonts w:ascii="Times New Roman" w:hAnsi="Times New Roman"/>
          <w:sz w:val="24"/>
        </w:rPr>
        <w:t xml:space="preserve">The Ninth Circuit has concluded that “back pay” under various federal statutes, generally includes tips, holiday pay, and overtime pay. </w:t>
      </w:r>
      <w:r>
        <w:rPr>
          <w:rFonts w:ascii="Times New Roman" w:hAnsi="Times New Roman"/>
          <w:i/>
          <w:sz w:val="24"/>
        </w:rPr>
        <w:t>See Local Joint Exec. Bd. of Culinary/Bartender Tr. Fund v. Las Vegas Sands, Inc.</w:t>
      </w:r>
      <w:r>
        <w:rPr>
          <w:rFonts w:ascii="Times New Roman" w:hAnsi="Times New Roman"/>
          <w:sz w:val="24"/>
        </w:rPr>
        <w:t>, 244 F.3d 1152, 1157 (9th Cir. 2001).</w:t>
      </w:r>
    </w:p>
    <w:p>
      <w:pPr>
        <w:spacing w:after="240"/>
        <w:ind w:firstLine="720"/>
      </w:pPr>
      <w:r>
        <w:rPr>
          <w:rFonts w:ascii="Times New Roman" w:hAnsi="Times New Roman"/>
          <w:sz w:val="24"/>
        </w:rPr>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Pr>
          <w:rFonts w:ascii="Times New Roman" w:hAnsi="Times New Roman"/>
          <w:i/>
          <w:sz w:val="24"/>
        </w:rPr>
        <w:t>Cassino</w:t>
      </w:r>
      <w:r>
        <w:rPr>
          <w:rFonts w:ascii="Times New Roman" w:hAnsi="Times New Roman"/>
          <w:sz w:val="24"/>
        </w:rPr>
        <w:t xml:space="preserve">, 817 F.2d at 1345 (citation omitted). The Ninth Circuit has not definitively taken a position on whether a jury should be instructed that, “after a period of looking for work unsuccessfully, [the plaintiff is] obligated to ‘lower his sights’” to procure mitigating employment. </w:t>
      </w:r>
      <w:r>
        <w:rPr>
          <w:rFonts w:ascii="Times New Roman" w:hAnsi="Times New Roman"/>
          <w:i/>
          <w:sz w:val="24"/>
        </w:rPr>
        <w:t>See EEOC v. Pape Lift, Inc.</w:t>
      </w:r>
      <w:r>
        <w:rPr>
          <w:rFonts w:ascii="Times New Roman" w:hAnsi="Times New Roman"/>
          <w:sz w:val="24"/>
        </w:rPr>
        <w:t xml:space="preserve">, 115 F.3d 676, 683 (9th Cir. 1997) (declining to reach issue because the instruction was not requested at trial) (citing </w:t>
      </w:r>
      <w:r>
        <w:rPr>
          <w:rFonts w:ascii="Times New Roman" w:hAnsi="Times New Roman"/>
          <w:i/>
          <w:sz w:val="24"/>
        </w:rPr>
        <w:t>Ford Motor Co. v. EEOC</w:t>
      </w:r>
      <w:r>
        <w:rPr>
          <w:rFonts w:ascii="Times New Roman" w:hAnsi="Times New Roman"/>
          <w:sz w:val="24"/>
        </w:rPr>
        <w:t>, 458 U.S. 219, 232 n.16 (1982) (noting, without adopting the principle, that some lower courts have indicated that “after an extended period of time searching for work without success, a claimant must consider taking a lower-paying position”)).</w:t>
      </w:r>
    </w:p>
    <w:p>
      <w:pPr>
        <w:spacing w:after="240"/>
        <w:ind w:firstLine="720"/>
      </w:pPr>
      <w:r>
        <w:rPr>
          <w:rFonts w:ascii="Times New Roman" w:hAnsi="Times New Roman"/>
          <w:sz w:val="24"/>
        </w:rPr>
        <w:t xml:space="preserve">The ADEA does not provide for nonwage compensatory or punitive damages. </w:t>
      </w:r>
      <w:r>
        <w:rPr>
          <w:rFonts w:ascii="Times New Roman" w:hAnsi="Times New Roman"/>
          <w:i/>
          <w:sz w:val="24"/>
        </w:rPr>
        <w:t>Ahlmeyer</w:t>
      </w:r>
    </w:p>
    <w:p>
      <w:pPr>
        <w:spacing w:after="240"/>
        <w:ind w:firstLine="720"/>
      </w:pPr>
      <w:r>
        <w:rPr>
          <w:rFonts w:ascii="Times New Roman" w:hAnsi="Times New Roman"/>
          <w:i/>
          <w:sz w:val="24"/>
        </w:rPr>
        <w:t>v. Nev. Sys. of Higher Educ</w:t>
      </w:r>
      <w:r>
        <w:rPr>
          <w:rFonts w:ascii="Times New Roman" w:hAnsi="Times New Roman"/>
          <w:sz w:val="24"/>
        </w:rPr>
        <w:t xml:space="preserve">., 555 F.3d 1051, 1059 (9th Cir. 2009); </w:t>
      </w:r>
      <w:r>
        <w:rPr>
          <w:rFonts w:ascii="Times New Roman" w:hAnsi="Times New Roman"/>
          <w:i/>
          <w:sz w:val="24"/>
        </w:rPr>
        <w:t>Naton v. Bank of Cal.</w:t>
      </w:r>
      <w:r>
        <w:rPr>
          <w:rFonts w:ascii="Times New Roman" w:hAnsi="Times New Roman"/>
          <w:sz w:val="24"/>
        </w:rPr>
        <w:t xml:space="preserve">, 649 F.2d 691, 698-99 (9th Cir. 1981). Thus, a plaintiff cannot recover for emotional distress or pain and suffering under the ADEA. </w:t>
      </w:r>
      <w:r>
        <w:rPr>
          <w:rFonts w:ascii="Times New Roman" w:hAnsi="Times New Roman"/>
          <w:i/>
          <w:sz w:val="24"/>
        </w:rPr>
        <w:t>Id.</w:t>
      </w:r>
      <w:r>
        <w:rPr>
          <w:rFonts w:ascii="Times New Roman" w:hAnsi="Times New Roman"/>
          <w:sz w:val="24"/>
        </w:rPr>
        <w:t xml:space="preserve">; </w:t>
      </w:r>
      <w:r>
        <w:rPr>
          <w:rFonts w:ascii="Times New Roman" w:hAnsi="Times New Roman"/>
          <w:i/>
          <w:sz w:val="24"/>
        </w:rPr>
        <w:t>see also Comm’r v. Schleier</w:t>
      </w:r>
      <w:r>
        <w:rPr>
          <w:rFonts w:ascii="Times New Roman" w:hAnsi="Times New Roman"/>
          <w:sz w:val="24"/>
        </w:rPr>
        <w:t xml:space="preserve">, 515 U.S. 323, 326 (1995) (“[T]he Courts of Appeals have unanimously held . . . that the ADEA does not permit a separate recovery of compensatory damages for pain and suffering or emotional distress.”). Nor were these remedies extended to the ADEA (as they were to Title VII actions) by the Civil Rights Act of 1991. </w:t>
      </w:r>
      <w:r>
        <w:rPr>
          <w:rFonts w:ascii="Times New Roman" w:hAnsi="Times New Roman"/>
          <w:i/>
          <w:sz w:val="24"/>
        </w:rPr>
        <w:t>See Smith v. City of Jackson</w:t>
      </w:r>
      <w:r>
        <w:rPr>
          <w:rFonts w:ascii="Times New Roman" w:hAnsi="Times New Roman"/>
          <w:sz w:val="24"/>
        </w:rPr>
        <w:t>, 544 U.S. 228, 240 (2005) (holding that while the Civil Rights Act of 1991 “expanded the coverage of Title VII, [it] did not amend the ADEA or speak to the subject of age discrimination”).</w:t>
      </w:r>
    </w:p>
    <w:p>
      <w:pPr>
        <w:spacing w:after="240"/>
        <w:ind w:firstLine="720"/>
      </w:pPr>
      <w:r>
        <w:rPr>
          <w:rFonts w:ascii="Times New Roman" w:hAnsi="Times New Roman"/>
          <w:i/>
          <w:sz w:val="24"/>
        </w:rPr>
        <w:t>See</w:t>
      </w:r>
      <w:r>
        <w:rPr>
          <w:rFonts w:ascii="Times New Roman" w:hAnsi="Times New Roman"/>
          <w:sz w:val="24"/>
        </w:rPr>
        <w:t xml:space="preserve"> </w:t>
      </w:r>
      <w:r>
        <w:rPr>
          <w:rFonts w:ascii="Times New Roman" w:hAnsi="Times New Roman"/>
          <w:i/>
          <w:sz w:val="24"/>
        </w:rPr>
        <w:t>also</w:t>
      </w:r>
      <w:r>
        <w:rPr>
          <w:rFonts w:ascii="Times New Roman" w:hAnsi="Times New Roman"/>
          <w:sz w:val="24"/>
        </w:rPr>
        <w:t xml:space="preserve"> Instruction 11.14 (Age Discrimination—Damages—Willful Discrimination—Liquidated Damages).</w:t>
      </w:r>
    </w:p>
    <w:p>
      <w:pPr>
        <w:spacing w:after="240"/>
        <w:ind w:firstLine="720"/>
      </w:pPr>
      <w:r>
        <w:rPr>
          <w:rFonts w:ascii="Times New Roman" w:hAnsi="Times New Roman"/>
          <w:i/>
          <w:sz w:val="24"/>
        </w:rPr>
        <w:t>Revised June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