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11.4 Age Discrimination—Disparate Impact—Elements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The plaintiff [</w:t>
      </w:r>
      <w:r>
        <w:rPr>
          <w:rFonts w:ascii="Times New Roman" w:hAnsi="Times New Roman"/>
          <w:i/>
          <w:sz w:val="24"/>
          <w:u w:val="single"/>
        </w:rPr>
        <w:t>name</w:t>
      </w:r>
      <w:r>
        <w:rPr>
          <w:rFonts w:ascii="Times New Roman" w:hAnsi="Times New Roman"/>
          <w:sz w:val="24"/>
        </w:rPr>
        <w:t>] seeks damages based on age discrimination in violation of federal law. To prevail on this claim, the plaintiff [</w:t>
      </w:r>
      <w:r>
        <w:rPr>
          <w:rFonts w:ascii="Times New Roman" w:hAnsi="Times New Roman"/>
          <w:i/>
          <w:sz w:val="24"/>
          <w:u w:val="single"/>
        </w:rPr>
        <w:t>name</w:t>
      </w:r>
      <w:r>
        <w:rPr>
          <w:rFonts w:ascii="Times New Roman" w:hAnsi="Times New Roman"/>
          <w:sz w:val="24"/>
        </w:rPr>
        <w:t>] has the burden of proving each of the following elements by a preponderance of the evidence: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First, the plaintiff [</w:t>
      </w:r>
      <w:r>
        <w:rPr>
          <w:rFonts w:ascii="Times New Roman" w:hAnsi="Times New Roman"/>
          <w:i/>
          <w:sz w:val="24"/>
          <w:u w:val="single"/>
        </w:rPr>
        <w:t>name</w:t>
      </w:r>
      <w:r>
        <w:rPr>
          <w:rFonts w:ascii="Times New Roman" w:hAnsi="Times New Roman"/>
          <w:sz w:val="24"/>
        </w:rPr>
        <w:t>] was 40 years of age or older at the time the plaintiff [</w:t>
      </w:r>
      <w:r>
        <w:rPr>
          <w:rFonts w:ascii="Times New Roman" w:hAnsi="Times New Roman"/>
          <w:i/>
          <w:sz w:val="24"/>
          <w:u w:val="single"/>
        </w:rPr>
        <w:t>name</w:t>
      </w:r>
      <w:r>
        <w:rPr>
          <w:rFonts w:ascii="Times New Roman" w:hAnsi="Times New Roman"/>
          <w:sz w:val="24"/>
        </w:rPr>
        <w:t>] was [discharged] [not hired] [not promoted] [demoted] [</w:t>
      </w:r>
      <w:r>
        <w:rPr>
          <w:rFonts w:ascii="Times New Roman" w:hAnsi="Times New Roman"/>
          <w:i/>
          <w:sz w:val="24"/>
          <w:u w:val="single"/>
        </w:rPr>
        <w:t>state other adverse action</w:t>
      </w:r>
      <w:r>
        <w:rPr>
          <w:rFonts w:ascii="Times New Roman" w:hAnsi="Times New Roman"/>
          <w:sz w:val="24"/>
        </w:rPr>
        <w:t>];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Second, the defendant [</w:t>
      </w:r>
      <w:r>
        <w:rPr>
          <w:rFonts w:ascii="Times New Roman" w:hAnsi="Times New Roman"/>
          <w:i/>
          <w:sz w:val="24"/>
          <w:u w:val="single"/>
        </w:rPr>
        <w:t>name</w:t>
      </w:r>
      <w:r>
        <w:rPr>
          <w:rFonts w:ascii="Times New Roman" w:hAnsi="Times New Roman"/>
          <w:sz w:val="24"/>
        </w:rPr>
        <w:t>] used a specific [test] [requirement] [practice] [selection criterion] that had a significantly adverse or disproportionate impact on employees 40 years of age or older; and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Third, the defendant [</w:t>
      </w:r>
      <w:r>
        <w:rPr>
          <w:rFonts w:ascii="Times New Roman" w:hAnsi="Times New Roman"/>
          <w:i/>
          <w:sz w:val="24"/>
          <w:u w:val="single"/>
        </w:rPr>
        <w:t>name</w:t>
      </w:r>
      <w:r>
        <w:rPr>
          <w:rFonts w:ascii="Times New Roman" w:hAnsi="Times New Roman"/>
          <w:sz w:val="24"/>
        </w:rPr>
        <w:t>]’s [test] [requirement] [practice] [selection criterion] resulted in the plaintiff [</w:t>
      </w:r>
      <w:r>
        <w:rPr>
          <w:rFonts w:ascii="Times New Roman" w:hAnsi="Times New Roman"/>
          <w:i/>
          <w:sz w:val="24"/>
          <w:u w:val="single"/>
        </w:rPr>
        <w:t>name</w:t>
      </w:r>
      <w:r>
        <w:rPr>
          <w:rFonts w:ascii="Times New Roman" w:hAnsi="Times New Roman"/>
          <w:sz w:val="24"/>
        </w:rPr>
        <w:t>] being [discharged] [not hired] [not promoted] [demoted] [</w:t>
      </w:r>
      <w:r>
        <w:rPr>
          <w:rFonts w:ascii="Times New Roman" w:hAnsi="Times New Roman"/>
          <w:i/>
          <w:sz w:val="24"/>
          <w:u w:val="single"/>
        </w:rPr>
        <w:t>state other adverse action</w:t>
      </w:r>
      <w:r>
        <w:rPr>
          <w:rFonts w:ascii="Times New Roman" w:hAnsi="Times New Roman"/>
          <w:sz w:val="24"/>
        </w:rPr>
        <w:t>].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If you find that the plaintiff [</w:t>
      </w:r>
      <w:r>
        <w:rPr>
          <w:rFonts w:ascii="Times New Roman" w:hAnsi="Times New Roman"/>
          <w:i/>
          <w:sz w:val="24"/>
          <w:u w:val="single"/>
        </w:rPr>
        <w:t>name</w:t>
      </w:r>
      <w:r>
        <w:rPr>
          <w:rFonts w:ascii="Times New Roman" w:hAnsi="Times New Roman"/>
          <w:sz w:val="24"/>
        </w:rPr>
        <w:t>] has proved all three of these elements, your verdict should be for the plaintiff [</w:t>
      </w:r>
      <w:r>
        <w:rPr>
          <w:rFonts w:ascii="Times New Roman" w:hAnsi="Times New Roman"/>
          <w:i/>
          <w:sz w:val="24"/>
          <w:u w:val="single"/>
        </w:rPr>
        <w:t>name</w:t>
      </w:r>
      <w:r>
        <w:rPr>
          <w:rFonts w:ascii="Times New Roman" w:hAnsi="Times New Roman"/>
          <w:sz w:val="24"/>
        </w:rPr>
        <w:t>]. If, on the other hand, the plaintiff [</w:t>
      </w:r>
      <w:r>
        <w:rPr>
          <w:rFonts w:ascii="Times New Roman" w:hAnsi="Times New Roman"/>
          <w:i/>
          <w:sz w:val="24"/>
          <w:u w:val="single"/>
        </w:rPr>
        <w:t>name</w:t>
      </w:r>
      <w:r>
        <w:rPr>
          <w:rFonts w:ascii="Times New Roman" w:hAnsi="Times New Roman"/>
          <w:sz w:val="24"/>
        </w:rPr>
        <w:t>] has failed to prove any of these elements, your verdict should be for the defendant [</w:t>
      </w:r>
      <w:r>
        <w:rPr>
          <w:rFonts w:ascii="Times New Roman" w:hAnsi="Times New Roman"/>
          <w:i/>
          <w:sz w:val="24"/>
          <w:u w:val="single"/>
        </w:rPr>
        <w:t>name</w:t>
      </w:r>
      <w:r>
        <w:rPr>
          <w:rFonts w:ascii="Times New Roman" w:hAnsi="Times New Roman"/>
          <w:sz w:val="24"/>
        </w:rPr>
        <w:t>].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“A disparate impact claim challenges employment practices that are facially neutral in their treatment of different groups but that in fact fall more harshly on one group than another . . . .” </w:t>
      </w:r>
      <w:r>
        <w:rPr>
          <w:rFonts w:ascii="Times New Roman" w:hAnsi="Times New Roman"/>
          <w:i/>
          <w:sz w:val="24"/>
        </w:rPr>
        <w:t>Pottenger v. Potlatch Corp</w:t>
      </w:r>
      <w:r>
        <w:rPr>
          <w:rFonts w:ascii="Times New Roman" w:hAnsi="Times New Roman"/>
          <w:sz w:val="24"/>
        </w:rPr>
        <w:t xml:space="preserve">., 329 F.3d 740, 749 (9th Cir. 2003) (internal quotation marks and citation omitted). In </w:t>
      </w:r>
      <w:r>
        <w:rPr>
          <w:rFonts w:ascii="Times New Roman" w:hAnsi="Times New Roman"/>
          <w:i/>
          <w:sz w:val="24"/>
        </w:rPr>
        <w:t>Smith v. City of Jackson</w:t>
      </w:r>
      <w:r>
        <w:rPr>
          <w:rFonts w:ascii="Times New Roman" w:hAnsi="Times New Roman"/>
          <w:sz w:val="24"/>
        </w:rPr>
        <w:t>, 544 U.S. 228, 232 (2005), the Supreme Court affirmed the availability of a disparate impact claim under the ADEA. For detailed discussions of disparate impact claims arising under the Fair Housing Act, see</w:t>
      </w:r>
      <w:r>
        <w:rPr>
          <w:rFonts w:ascii="Times New Roman" w:hAnsi="Times New Roman"/>
          <w:i/>
          <w:sz w:val="24"/>
        </w:rPr>
        <w:t xml:space="preserve"> Tex. Dep’t of Hous. and Cmty. Affairs v. Inclusive Cmtys. Project, Inc.,</w:t>
      </w:r>
      <w:r>
        <w:rPr>
          <w:rFonts w:ascii="Times New Roman" w:hAnsi="Times New Roman"/>
          <w:sz w:val="24"/>
        </w:rPr>
        <w:t xml:space="preserve">, 576 U.S. 519 (2015) (relying on cases interpreting Title VII and the ADEA) and </w:t>
      </w:r>
      <w:r>
        <w:rPr>
          <w:rFonts w:ascii="Times New Roman" w:hAnsi="Times New Roman"/>
          <w:i/>
          <w:sz w:val="24"/>
        </w:rPr>
        <w:t>Ohio House, LLC v. City of Costa Mesa</w:t>
      </w:r>
      <w:r>
        <w:rPr>
          <w:rFonts w:ascii="Times New Roman" w:hAnsi="Times New Roman"/>
          <w:sz w:val="24"/>
        </w:rPr>
        <w:t>, 135 F.4th 645, 667 (9th Cir. 2025) (“To establish prima facie disparate impact, a plaintiff must present evidence of: (1) the existence of a policy . . . that is outwardly neutral; (2) a significant, adverse, and disproportionate effect on a protected class; and (3) robust causality that shows, beyond mere evidence of a statistical disparity, that the challenged policy, and not some other factor or policy, caused the disproportionate effect.” (alteration in original) (internal quotation marks and citation omitted)).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The first element states the age threshold necessary to fall within the ADEA. </w:t>
      </w:r>
      <w:r>
        <w:rPr>
          <w:rFonts w:ascii="Times New Roman" w:hAnsi="Times New Roman"/>
          <w:i/>
          <w:sz w:val="24"/>
        </w:rPr>
        <w:t>See</w:t>
      </w:r>
      <w:r>
        <w:rPr>
          <w:rFonts w:ascii="Times New Roman" w:hAnsi="Times New Roman"/>
          <w:sz w:val="24"/>
        </w:rPr>
        <w:t xml:space="preserve"> 29 U.S.C. § 631(a).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The second element reflects </w:t>
      </w:r>
      <w:r>
        <w:rPr>
          <w:rFonts w:ascii="Times New Roman" w:hAnsi="Times New Roman"/>
          <w:i/>
          <w:sz w:val="24"/>
        </w:rPr>
        <w:t>Smith</w:t>
      </w:r>
      <w:r>
        <w:rPr>
          <w:rFonts w:ascii="Times New Roman" w:hAnsi="Times New Roman"/>
          <w:sz w:val="24"/>
        </w:rPr>
        <w:t xml:space="preserve">’s holding that “it is not enough to simply allege that there is a disparate impact on workers or point to a generalized policy that leads to such an impact. Rather, the employee is responsible for isolating and identifying the specific employment practices that are allegedly responsible for any observed statistical disparities.”  </w:t>
      </w:r>
      <w:r>
        <w:rPr>
          <w:rFonts w:ascii="Times New Roman" w:hAnsi="Times New Roman"/>
          <w:i/>
          <w:sz w:val="24"/>
        </w:rPr>
        <w:t>Smith</w:t>
      </w:r>
      <w:r>
        <w:rPr>
          <w:rFonts w:ascii="Times New Roman" w:hAnsi="Times New Roman"/>
          <w:sz w:val="24"/>
        </w:rPr>
        <w:t xml:space="preserve">, 544 U.S. at 240-41 (internal quotation omitted) (emphasis in original) (holding that the heightened disparate impact standard of </w:t>
      </w:r>
      <w:r>
        <w:rPr>
          <w:rFonts w:ascii="Times New Roman" w:hAnsi="Times New Roman"/>
          <w:i/>
          <w:sz w:val="24"/>
        </w:rPr>
        <w:t>Wards Cove Packing Co. v. Atonio</w:t>
      </w:r>
      <w:r>
        <w:rPr>
          <w:rFonts w:ascii="Times New Roman" w:hAnsi="Times New Roman"/>
          <w:sz w:val="24"/>
        </w:rPr>
        <w:t xml:space="preserve">, 490 U.S. 642, 656 (1989), applies in ADEA cases because the Civil Rights Act of 1991, which abrogated </w:t>
      </w:r>
      <w:r>
        <w:rPr>
          <w:rFonts w:ascii="Times New Roman" w:hAnsi="Times New Roman"/>
          <w:i/>
          <w:sz w:val="24"/>
        </w:rPr>
        <w:t>Wards Cove</w:t>
      </w:r>
      <w:r>
        <w:rPr>
          <w:rFonts w:ascii="Times New Roman" w:hAnsi="Times New Roman"/>
          <w:sz w:val="24"/>
        </w:rPr>
        <w:t xml:space="preserve"> in Title VII cases, did not amend the ADEA). Thus, the plaintiff must establish that the employer uses a “specific test, requirement, or practice . . . that has an adverse impact on older workers.”  </w:t>
      </w:r>
      <w:r>
        <w:rPr>
          <w:rFonts w:ascii="Times New Roman" w:hAnsi="Times New Roman"/>
          <w:i/>
          <w:sz w:val="24"/>
        </w:rPr>
        <w:t>Id</w:t>
      </w:r>
      <w:r>
        <w:rPr>
          <w:rFonts w:ascii="Times New Roman" w:hAnsi="Times New Roman"/>
          <w:sz w:val="24"/>
        </w:rPr>
        <w:t>. at 241.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The third element states the requirement that the plaintiff “must show that he was subject to the particular employment practice with the alleged disparate impact.” </w:t>
      </w:r>
      <w:r>
        <w:rPr>
          <w:rFonts w:ascii="Times New Roman" w:hAnsi="Times New Roman"/>
          <w:i/>
          <w:sz w:val="24"/>
        </w:rPr>
        <w:t>Pottenger</w:t>
      </w:r>
      <w:r>
        <w:rPr>
          <w:rFonts w:ascii="Times New Roman" w:hAnsi="Times New Roman"/>
          <w:sz w:val="24"/>
        </w:rPr>
        <w:t>, 329 F.3d at 750.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When an affirmative defense is asserted, this instruction should be accompanied by the appropriate affirmative defense instruction.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June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