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11.5 Age Discrimination—Definition of Common Terms</w:t>
      </w:r>
    </w:p>
    <w:p>
      <w:pPr>
        <w:jc w:val="center"/>
      </w:pPr>
      <w:r>
        <w:rPr>
          <w:rFonts w:ascii="Times New Roman" w:hAnsi="Times New Roman"/>
          <w:b/>
          <w:sz w:val="24"/>
        </w:rPr>
        <w:t>Comment</w:t>
      </w:r>
    </w:p>
    <w:p>
      <w:pPr>
        <w:spacing w:after="240"/>
        <w:ind w:firstLine="720"/>
      </w:pPr>
      <w:r>
        <w:rPr>
          <w:rFonts w:ascii="Times New Roman" w:hAnsi="Times New Roman"/>
          <w:sz w:val="24"/>
        </w:rPr>
        <w:t>The ADEA defines several common terms in the same manner as Title VII. As applicable, the following Title VII instructions should be given: Instructions 10.12 (Civil Rights—Title VII—“Adverse Employment Action” in Retaliation Cases), 10.13 (Civil Rights—Title VII—“Adverse Employment Action” in Disparate Treatment Cases), 10.14 (Civil Rights—Title VII—“Tangible Employment Action” Defined), and 10.15 (Civil Rights—Title VII—“Constructive Discharge” Defined).</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