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11.9 Age Discrimination—Defenses—After-Acquired Evidence</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The ADEA applies the after-acquired evidence doctrine in the same manner as Title VII. </w:t>
      </w:r>
      <w:r>
        <w:rPr>
          <w:rFonts w:ascii="Times New Roman" w:hAnsi="Times New Roman"/>
          <w:i/>
          <w:sz w:val="24"/>
        </w:rPr>
        <w:t>See McKennon v. Nashville Banner Pub. Co.</w:t>
      </w:r>
      <w:r>
        <w:rPr>
          <w:rFonts w:ascii="Times New Roman" w:hAnsi="Times New Roman"/>
          <w:sz w:val="24"/>
        </w:rPr>
        <w:t xml:space="preserve">, 513 U.S. 352, 358-59 (1995); </w:t>
      </w:r>
      <w:r>
        <w:rPr>
          <w:rFonts w:ascii="Times New Roman" w:hAnsi="Times New Roman"/>
          <w:i/>
          <w:sz w:val="24"/>
        </w:rPr>
        <w:t>O’Day v. McDonnell Douglas Helicopters Co.</w:t>
      </w:r>
      <w:r>
        <w:rPr>
          <w:rFonts w:ascii="Times New Roman" w:hAnsi="Times New Roman"/>
          <w:sz w:val="24"/>
        </w:rPr>
        <w:t>, 79 F.3d 756, 759-60 (9th Cir. 1996). Thus, the parallel Title VII instruction, Instruction 10.18 (Civil Rights—Title VII—Defense</w:t>
      </w:r>
      <w:r>
        <w:rPr>
          <w:rFonts w:ascii="Times New Roman" w:hAnsi="Times New Roman"/>
          <w:b/>
          <w:sz w:val="24"/>
        </w:rPr>
        <w:t>—</w:t>
      </w:r>
      <w:r>
        <w:rPr>
          <w:rFonts w:ascii="Times New Roman" w:hAnsi="Times New Roman"/>
          <w:sz w:val="24"/>
        </w:rPr>
        <w:t>After-Acquired Evidence), should be given with appropriate modifications.</w:t>
      </w:r>
    </w:p>
    <w:p>
      <w:pPr>
        <w:spacing w:after="240"/>
        <w:ind w:firstLine="720"/>
      </w:pPr>
      <w:r>
        <w:rPr>
          <w:rFonts w:ascii="Times New Roman" w:hAnsi="Times New Roman"/>
          <w:sz w:val="24"/>
        </w:rPr>
        <w:t xml:space="preserve">If an employer takes an adverse employment action such as discharging an employee for a discriminatory reason, later-discovered evidence that the employer could have used to discharge the employee for a legitimate reason does not immunize the employer from liability; however, the employer does not have to offer reinstatement or front pay and only has to provide back pay “from the date of the unlawful discharge to the date the new information was discovered.” </w:t>
      </w:r>
      <w:r>
        <w:rPr>
          <w:rFonts w:ascii="Times New Roman" w:hAnsi="Times New Roman"/>
          <w:i/>
          <w:sz w:val="24"/>
        </w:rPr>
        <w:t>McKennon</w:t>
      </w:r>
      <w:r>
        <w:rPr>
          <w:rFonts w:ascii="Times New Roman" w:hAnsi="Times New Roman"/>
          <w:sz w:val="24"/>
        </w:rPr>
        <w:t xml:space="preserve">, 513 U.S. at 362 (ADEA case); </w:t>
      </w:r>
      <w:r>
        <w:rPr>
          <w:rFonts w:ascii="Times New Roman" w:hAnsi="Times New Roman"/>
          <w:i/>
          <w:sz w:val="24"/>
        </w:rPr>
        <w:t>see also Rivera v. Nibco, Inc.</w:t>
      </w:r>
      <w:r>
        <w:rPr>
          <w:rFonts w:ascii="Times New Roman" w:hAnsi="Times New Roman"/>
          <w:sz w:val="24"/>
        </w:rPr>
        <w:t xml:space="preserve">, 364 F.3d 1057, 1071 n.16 (9th Cir. 2004); </w:t>
      </w:r>
      <w:r>
        <w:rPr>
          <w:rFonts w:ascii="Times New Roman" w:hAnsi="Times New Roman"/>
          <w:i/>
          <w:sz w:val="24"/>
        </w:rPr>
        <w:t>O’Day</w:t>
      </w:r>
      <w:r>
        <w:rPr>
          <w:rFonts w:ascii="Times New Roman" w:hAnsi="Times New Roman"/>
          <w:sz w:val="24"/>
        </w:rPr>
        <w:t xml:space="preserve">, 79 F.3d at 761-62. The employer must prove by a preponderance of the evidence that it would have fired the employee because of the after-acquired evidence. </w:t>
      </w:r>
      <w:r>
        <w:rPr>
          <w:rFonts w:ascii="Times New Roman" w:hAnsi="Times New Roman"/>
          <w:i/>
          <w:sz w:val="24"/>
        </w:rPr>
        <w:t>Id.</w:t>
      </w:r>
      <w:r>
        <w:rPr>
          <w:rFonts w:ascii="Times New Roman" w:hAnsi="Times New Roman"/>
          <w:sz w:val="24"/>
        </w:rPr>
        <w:t xml:space="preserve"> at 761.</w:t>
      </w:r>
    </w:p>
    <w:p>
      <w:pPr>
        <w:spacing w:after="240"/>
        <w:ind w:firstLine="720"/>
      </w:pPr>
      <w:r>
        <w:rPr>
          <w:rFonts w:ascii="Times New Roman" w:hAnsi="Times New Roman"/>
          <w:sz w:val="24"/>
        </w:rPr>
        <w:t>In Title VII cases, the defense of after-acquired evidence is similar to, but not the same as, an employer’s affirmative defense to a charge that a protected characteristic was a “motivating factor” in an adverse employment decision, because both defenses provide limitations on remedies without absolving an employer of liability. In the case of “after-acquired evidence,” the information establishing a lawful basis for the employer’s adverse employment decision is not acquired until after the adverse decision and thus only limits remedies as set forth in Instruction 10.18.</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