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12.2 ADA Employment Actions—Record of Disability—Elements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claims that [his] [her]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 record of disability was the reason for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decision to [[discharge] [not hire] [not promote] [demote] [</w:t>
      </w:r>
      <w:r>
        <w:rPr>
          <w:rFonts w:ascii="Times New Roman" w:hAnsi="Times New Roman"/>
          <w:i/>
          <w:sz w:val="24"/>
          <w:u w:val="single"/>
        </w:rPr>
        <w:t>state other adverse action</w:t>
      </w:r>
      <w:r>
        <w:rPr>
          <w:rFonts w:ascii="Times New Roman" w:hAnsi="Times New Roman"/>
          <w:sz w:val="24"/>
        </w:rPr>
        <w:t>]] [[him] [her]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]]. To succeed on this claim,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the burden of proving each of the following four elements by a preponderance of the evidence: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First,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a record of a physical or mental impairment;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Second, such physical or mental impairment substantially limited one or more major life activities;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Third,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was a qualified individual as that term is later defined in these instructions; and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Fourth,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was [discharged] [not hired] [not promoted] [demoted] [</w:t>
      </w:r>
      <w:r>
        <w:rPr>
          <w:rFonts w:ascii="Times New Roman" w:hAnsi="Times New Roman"/>
          <w:i/>
          <w:sz w:val="24"/>
          <w:u w:val="single"/>
        </w:rPr>
        <w:t>state other adverse action</w:t>
      </w:r>
      <w:r>
        <w:rPr>
          <w:rFonts w:ascii="Times New Roman" w:hAnsi="Times New Roman"/>
          <w:sz w:val="24"/>
        </w:rPr>
        <w:t>] because of [his] [her]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 record of a physical or mental impairment].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If you find that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proved each of these elements, your verdict should be for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]. If, on the other hand,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has failed to prove any of these elements, your verdict should be for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 xml:space="preserve">See </w:t>
      </w:r>
      <w:r>
        <w:rPr>
          <w:rFonts w:ascii="Times New Roman" w:hAnsi="Times New Roman"/>
          <w:sz w:val="24"/>
        </w:rPr>
        <w:t>Comment to Instruction 12.1 (ADA Employment Action—Actual Disability—Elements).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“[A]lthough the ‘duration of an impairment’ remains ‘one factor that is relevant in determining whether the impairment substantially limits a major life activity,’” </w:t>
      </w:r>
      <w:r>
        <w:rPr>
          <w:rFonts w:ascii="Times New Roman" w:hAnsi="Times New Roman"/>
          <w:i/>
          <w:sz w:val="24"/>
        </w:rPr>
        <w:t>Shields v. Credit One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Bank, N.A.</w:t>
      </w:r>
      <w:r>
        <w:rPr>
          <w:rFonts w:ascii="Times New Roman" w:hAnsi="Times New Roman"/>
          <w:sz w:val="24"/>
        </w:rPr>
        <w:t xml:space="preserve">, 32 F.4th 1218, 1225 (9th Cir. 2022) (citation omitted), a plaintiff need not establish permanent or long-term effects, </w:t>
      </w:r>
      <w:r>
        <w:rPr>
          <w:rFonts w:ascii="Times New Roman" w:hAnsi="Times New Roman"/>
          <w:i/>
          <w:sz w:val="24"/>
        </w:rPr>
        <w:t xml:space="preserve">id. </w:t>
      </w:r>
      <w:r>
        <w:rPr>
          <w:rFonts w:ascii="Times New Roman" w:hAnsi="Times New Roman"/>
          <w:sz w:val="24"/>
        </w:rPr>
        <w:t>at 1224.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