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15.16 Trademark Ownership—Licensee</w:t>
      </w:r>
    </w:p>
    <w:p>
      <w:pPr>
        <w:jc w:val="center"/>
      </w:pPr>
      <w:r>
        <w:rPr>
          <w:rFonts w:ascii="Times New Roman" w:hAnsi="Times New Roman"/>
          <w:b/>
          <w:sz w:val="24"/>
        </w:rPr>
        <w:t>Comment</w:t>
      </w:r>
    </w:p>
    <w:p>
      <w:pPr>
        <w:spacing w:after="240"/>
        <w:ind w:firstLine="720"/>
      </w:pPr>
      <w:r>
        <w:rPr>
          <w:rFonts w:ascii="Times New Roman" w:hAnsi="Times New Roman"/>
          <w:sz w:val="24"/>
        </w:rPr>
        <w:t>Although 15 U.S.C. § 1060 requires that assignments of registrations be written, a license can be oral.</w:t>
      </w:r>
    </w:p>
    <w:p>
      <w:pPr>
        <w:spacing w:after="240"/>
        <w:ind w:firstLine="720"/>
      </w:pPr>
      <w:r>
        <w:rPr>
          <w:rFonts w:ascii="Times New Roman" w:hAnsi="Times New Roman"/>
          <w:sz w:val="24"/>
        </w:rPr>
        <w:t xml:space="preserve">The Ninth Circuit Court of Appeals has not addressed whether a licensee of a registered mark can bring a trademark infringement lawsuit under § 32 of the Lanham Act. But the plain text of that section and the majority view strongly suggest that a licensee cannot. </w:t>
      </w:r>
      <w:r>
        <w:rPr>
          <w:rFonts w:ascii="Times New Roman" w:hAnsi="Times New Roman"/>
          <w:i/>
          <w:sz w:val="24"/>
        </w:rPr>
        <w:t xml:space="preserve">See </w:t>
      </w:r>
      <w:r>
        <w:rPr>
          <w:rFonts w:ascii="Times New Roman" w:hAnsi="Times New Roman"/>
          <w:sz w:val="24"/>
        </w:rPr>
        <w:t xml:space="preserve">15 U.S.C. § 1114(1) (An infringer “shall be liable in a civil action by the registrant”); 6 J. Thomas McCarthy, McCarthy on Trademarks and Unfair Competition § 32:3 (5th ed. 2019) (collecting cases). </w:t>
      </w:r>
      <w:r>
        <w:rPr>
          <w:rFonts w:ascii="Times New Roman" w:hAnsi="Times New Roman"/>
          <w:i/>
          <w:sz w:val="24"/>
        </w:rPr>
        <w:t>But see Quabaug Rubber Co. v. Fabiano Shoe Co.</w:t>
      </w:r>
      <w:r>
        <w:rPr>
          <w:rFonts w:ascii="Times New Roman" w:hAnsi="Times New Roman"/>
          <w:sz w:val="24"/>
        </w:rPr>
        <w:t>, 567 F.2d 154, 158-59 (1st Cir. 1977) (indicating, in dictum, that licensee would be able to bring trademark infringement claim under § 32 of the Lanham Act if it was an “exclusive licensee”).</w:t>
      </w:r>
    </w:p>
    <w:p>
      <w:pPr>
        <w:spacing w:after="240"/>
        <w:ind w:firstLine="720"/>
      </w:pPr>
      <w:r>
        <w:rPr>
          <w:rFonts w:ascii="Times New Roman" w:hAnsi="Times New Roman"/>
          <w:sz w:val="24"/>
        </w:rPr>
        <w:t xml:space="preserve">For trademark infringement actions of unregistered marks, a licensee has a right to sue under Section 43(a) of the Lanham Act. </w:t>
      </w:r>
      <w:r>
        <w:rPr>
          <w:rFonts w:ascii="Times New Roman" w:hAnsi="Times New Roman"/>
          <w:i/>
          <w:sz w:val="24"/>
        </w:rPr>
        <w:t>See</w:t>
      </w:r>
      <w:r>
        <w:rPr>
          <w:rFonts w:ascii="Times New Roman" w:hAnsi="Times New Roman"/>
          <w:sz w:val="24"/>
        </w:rPr>
        <w:t xml:space="preserve"> 15 U.S.C. § 1125(a)(1) (allowing for a trademark action “by any person who believes that he or she is likely to be damaged by” trademark infringement).</w:t>
      </w:r>
    </w:p>
    <w:p>
      <w:pPr>
        <w:spacing w:after="240"/>
        <w:ind w:firstLine="720"/>
      </w:pPr>
      <w:r>
        <w:rPr>
          <w:rFonts w:ascii="Times New Roman" w:hAnsi="Times New Roman"/>
          <w:sz w:val="24"/>
        </w:rPr>
        <w:t>For a definition of licensee, see Instruction 15.1 (Preliminary Instruction—Trademark).</w:t>
      </w:r>
    </w:p>
    <w:p>
      <w:pPr>
        <w:spacing w:after="240"/>
        <w:ind w:firstLine="720"/>
      </w:pPr>
      <w:r>
        <w:rPr>
          <w:rFonts w:ascii="Times New Roman" w:hAnsi="Times New Roman"/>
          <w:i/>
          <w:sz w:val="24"/>
        </w:rPr>
        <w:t>Revised March 2025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