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15.20 Expressive Works</w:t>
      </w:r>
    </w:p>
    <w:p>
      <w:pPr>
        <w:spacing w:after="240"/>
        <w:ind w:firstLine="720"/>
      </w:pPr>
      <w:r>
        <w:rPr>
          <w:rFonts w:ascii="Times New Roman" w:hAnsi="Times New Roman"/>
          <w:sz w:val="24"/>
        </w:rPr>
        <w:t>The defendant [</w:t>
      </w:r>
      <w:r>
        <w:rPr>
          <w:rFonts w:ascii="Times New Roman" w:hAnsi="Times New Roman"/>
          <w:i/>
          <w:sz w:val="24"/>
          <w:u w:val="single"/>
        </w:rPr>
        <w:t>name</w:t>
      </w:r>
      <w:r>
        <w:rPr>
          <w:rFonts w:ascii="Times New Roman" w:hAnsi="Times New Roman"/>
          <w:sz w:val="24"/>
        </w:rPr>
        <w:t>]’s work, [</w:t>
      </w:r>
      <w:r>
        <w:rPr>
          <w:rFonts w:ascii="Times New Roman" w:hAnsi="Times New Roman"/>
          <w:i/>
          <w:sz w:val="24"/>
          <w:u w:val="single"/>
        </w:rPr>
        <w:t>insert name of allegedly infringing work</w:t>
      </w:r>
      <w:r>
        <w:rPr>
          <w:rFonts w:ascii="Times New Roman" w:hAnsi="Times New Roman"/>
          <w:sz w:val="24"/>
        </w:rPr>
        <w:t>], is an expressive work that is protected by the First Amendment.</w:t>
      </w:r>
    </w:p>
    <w:p>
      <w:pPr>
        <w:spacing w:after="240"/>
        <w:ind w:firstLine="720"/>
      </w:pPr>
      <w:r>
        <w:rPr>
          <w:rFonts w:ascii="Times New Roman" w:hAnsi="Times New Roman"/>
          <w:sz w:val="24"/>
        </w:rPr>
        <w:t>Therefore, you may proceed to the likelihood-of-confusion test for trademark infringement only if the plaintiff [</w:t>
      </w:r>
      <w:r>
        <w:rPr>
          <w:rFonts w:ascii="Times New Roman" w:hAnsi="Times New Roman"/>
          <w:i/>
          <w:sz w:val="24"/>
          <w:u w:val="single"/>
        </w:rPr>
        <w:t>name</w:t>
      </w:r>
      <w:r>
        <w:rPr>
          <w:rFonts w:ascii="Times New Roman" w:hAnsi="Times New Roman"/>
          <w:sz w:val="24"/>
        </w:rPr>
        <w:t>] proves by a preponderance of the evidence that the defendant [</w:t>
      </w:r>
      <w:r>
        <w:rPr>
          <w:rFonts w:ascii="Times New Roman" w:hAnsi="Times New Roman"/>
          <w:i/>
          <w:sz w:val="24"/>
          <w:u w:val="single"/>
        </w:rPr>
        <w:t>name</w:t>
      </w:r>
      <w:r>
        <w:rPr>
          <w:rFonts w:ascii="Times New Roman" w:hAnsi="Times New Roman"/>
          <w:sz w:val="24"/>
        </w:rPr>
        <w:t>]’s use of the plaintiff’s mark is explicitly misleading as to the source or content of [</w:t>
      </w:r>
      <w:r>
        <w:rPr>
          <w:rFonts w:ascii="Times New Roman" w:hAnsi="Times New Roman"/>
          <w:i/>
          <w:sz w:val="24"/>
          <w:u w:val="single"/>
        </w:rPr>
        <w:t>insert name of allegedly infringing work</w:t>
      </w:r>
      <w:r>
        <w:rPr>
          <w:rFonts w:ascii="Times New Roman" w:hAnsi="Times New Roman"/>
          <w:sz w:val="24"/>
        </w:rPr>
        <w:t>]. The defendant [</w:t>
      </w:r>
      <w:r>
        <w:rPr>
          <w:rFonts w:ascii="Times New Roman" w:hAnsi="Times New Roman"/>
          <w:i/>
          <w:sz w:val="24"/>
          <w:u w:val="single"/>
        </w:rPr>
        <w:t>name</w:t>
      </w:r>
      <w:r>
        <w:rPr>
          <w:rFonts w:ascii="Times New Roman" w:hAnsi="Times New Roman"/>
          <w:sz w:val="24"/>
        </w:rPr>
        <w:t>]’s use of the mark is explicitly misleading if it is an explicit indication, overt claim, or explicit misstatement that the [</w:t>
      </w:r>
      <w:r>
        <w:rPr>
          <w:rFonts w:ascii="Times New Roman" w:hAnsi="Times New Roman"/>
          <w:i/>
          <w:sz w:val="24"/>
          <w:u w:val="single"/>
        </w:rPr>
        <w:t>insert name</w:t>
      </w:r>
      <w:r>
        <w:rPr>
          <w:rFonts w:ascii="Times New Roman" w:hAnsi="Times New Roman"/>
          <w:sz w:val="24"/>
        </w:rPr>
        <w:t xml:space="preserve"> </w:t>
      </w:r>
      <w:r>
        <w:rPr>
          <w:rFonts w:ascii="Times New Roman" w:hAnsi="Times New Roman"/>
          <w:i/>
          <w:sz w:val="24"/>
          <w:u w:val="single"/>
        </w:rPr>
        <w:t>of allegedly infringing work</w:t>
      </w:r>
      <w:r>
        <w:rPr>
          <w:rFonts w:ascii="Times New Roman" w:hAnsi="Times New Roman"/>
          <w:sz w:val="24"/>
        </w:rPr>
        <w:t>] is sponsored by or somehow associated with the plaintiff.</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This instruction concerns the Ninth Circuit’s adoption of the Second Circuit’s </w:t>
      </w:r>
      <w:r>
        <w:rPr>
          <w:rFonts w:ascii="Times New Roman" w:hAnsi="Times New Roman"/>
          <w:i/>
          <w:sz w:val="24"/>
        </w:rPr>
        <w:t>Rogers</w:t>
      </w:r>
      <w:r>
        <w:rPr>
          <w:rFonts w:ascii="Times New Roman" w:hAnsi="Times New Roman"/>
          <w:sz w:val="24"/>
        </w:rPr>
        <w:t xml:space="preserve"> test, </w:t>
      </w:r>
      <w:r>
        <w:rPr>
          <w:rFonts w:ascii="Times New Roman" w:hAnsi="Times New Roman"/>
          <w:i/>
          <w:sz w:val="24"/>
        </w:rPr>
        <w:t>see Rogers v. Grimaldi</w:t>
      </w:r>
      <w:r>
        <w:rPr>
          <w:rFonts w:ascii="Times New Roman" w:hAnsi="Times New Roman"/>
          <w:sz w:val="24"/>
        </w:rPr>
        <w:t xml:space="preserve">, 875 F.2d 994 (2d Cir. 1989), which applies to cases involving “expressive works,” </w:t>
      </w:r>
      <w:r>
        <w:rPr>
          <w:rFonts w:ascii="Times New Roman" w:hAnsi="Times New Roman"/>
          <w:i/>
          <w:sz w:val="24"/>
        </w:rPr>
        <w:t>Gordon v. Drape Creative, Inc.</w:t>
      </w:r>
      <w:r>
        <w:rPr>
          <w:rFonts w:ascii="Times New Roman" w:hAnsi="Times New Roman"/>
          <w:sz w:val="24"/>
        </w:rPr>
        <w:t xml:space="preserve">, 909 F.3d 257, 264 (9th Cir. 2018), and “in which a trademark is used not to designate a work’s source, but solely to perform some other expressive function,” </w:t>
      </w:r>
      <w:r>
        <w:rPr>
          <w:rFonts w:ascii="Times New Roman" w:hAnsi="Times New Roman"/>
          <w:i/>
          <w:sz w:val="24"/>
        </w:rPr>
        <w:t>Jack Daniel’s Props. v. VIP Prods. LLC</w:t>
      </w:r>
      <w:r>
        <w:rPr>
          <w:rFonts w:ascii="Times New Roman" w:hAnsi="Times New Roman"/>
          <w:sz w:val="24"/>
        </w:rPr>
        <w:t xml:space="preserve">, 599 U.S. 140, 154 (2023). “[P]recedents applying </w:t>
      </w:r>
      <w:r>
        <w:rPr>
          <w:rFonts w:ascii="Times New Roman" w:hAnsi="Times New Roman"/>
          <w:i/>
          <w:sz w:val="24"/>
        </w:rPr>
        <w:t>Rogers</w:t>
      </w:r>
      <w:r>
        <w:rPr>
          <w:rFonts w:ascii="Times New Roman" w:hAnsi="Times New Roman"/>
          <w:sz w:val="24"/>
        </w:rPr>
        <w:t xml:space="preserve"> were borne of the idea that some trademarks have expressive value and that in those situations, trademark law’s traditional likelihood-of-confusion test ‘fails to account for the full weight of the public’s interest in free expression.’” </w:t>
      </w:r>
      <w:r>
        <w:rPr>
          <w:rFonts w:ascii="Times New Roman" w:hAnsi="Times New Roman"/>
          <w:i/>
          <w:sz w:val="24"/>
        </w:rPr>
        <w:t>Punchbowl, Inc. v. AJ Press, LLC</w:t>
      </w:r>
      <w:r>
        <w:rPr>
          <w:rFonts w:ascii="Times New Roman" w:hAnsi="Times New Roman"/>
          <w:sz w:val="24"/>
        </w:rPr>
        <w:t xml:space="preserve">, 90 F.4th 1022, 1027-28 (9th Cir. 2024) (quoting </w:t>
      </w:r>
      <w:r>
        <w:rPr>
          <w:rFonts w:ascii="Times New Roman" w:hAnsi="Times New Roman"/>
          <w:i/>
          <w:sz w:val="24"/>
        </w:rPr>
        <w:t>Mattel, Inc. v. MCA Records, Inc.</w:t>
      </w:r>
      <w:r>
        <w:rPr>
          <w:rFonts w:ascii="Times New Roman" w:hAnsi="Times New Roman"/>
          <w:sz w:val="24"/>
        </w:rPr>
        <w:t xml:space="preserve">, 296 F.3d 894, 900 (9th Cir. 2002)). If </w:t>
      </w:r>
      <w:r>
        <w:rPr>
          <w:rFonts w:ascii="Times New Roman" w:hAnsi="Times New Roman"/>
          <w:i/>
          <w:sz w:val="24"/>
        </w:rPr>
        <w:t>Rogers</w:t>
      </w:r>
      <w:r>
        <w:rPr>
          <w:rFonts w:ascii="Times New Roman" w:hAnsi="Times New Roman"/>
          <w:sz w:val="24"/>
        </w:rPr>
        <w:t xml:space="preserve"> applies to an allegedly infringing mark, “it often precludes claims of trademark infringement.” </w:t>
      </w:r>
      <w:r>
        <w:rPr>
          <w:rFonts w:ascii="Times New Roman" w:hAnsi="Times New Roman"/>
          <w:i/>
          <w:sz w:val="24"/>
        </w:rPr>
        <w:t>Id</w:t>
      </w:r>
      <w:r>
        <w:rPr>
          <w:rFonts w:ascii="Times New Roman" w:hAnsi="Times New Roman"/>
          <w:sz w:val="24"/>
        </w:rPr>
        <w:t>. at 1028.</w:t>
      </w:r>
    </w:p>
    <w:p>
      <w:pPr>
        <w:spacing w:after="240"/>
        <w:ind w:firstLine="720"/>
      </w:pPr>
      <w:r>
        <w:rPr>
          <w:rFonts w:ascii="Times New Roman" w:hAnsi="Times New Roman"/>
          <w:sz w:val="24"/>
        </w:rPr>
        <w:t xml:space="preserve">When faced with a </w:t>
      </w:r>
      <w:r>
        <w:rPr>
          <w:rFonts w:ascii="Times New Roman" w:hAnsi="Times New Roman"/>
          <w:i/>
          <w:sz w:val="24"/>
        </w:rPr>
        <w:t>Rogers</w:t>
      </w:r>
      <w:r>
        <w:rPr>
          <w:rFonts w:ascii="Times New Roman" w:hAnsi="Times New Roman"/>
          <w:sz w:val="24"/>
        </w:rPr>
        <w:t xml:space="preserve">-test challenge by a defendant, the court must make two threshold determinations. First, the court must determine if the alleged infringing trademark is used “at least in part” as a trademark. </w:t>
      </w:r>
      <w:r>
        <w:rPr>
          <w:rFonts w:ascii="Times New Roman" w:hAnsi="Times New Roman"/>
          <w:i/>
          <w:sz w:val="24"/>
        </w:rPr>
        <w:t>Jack Daniel’s</w:t>
      </w:r>
      <w:r>
        <w:rPr>
          <w:rFonts w:ascii="Times New Roman" w:hAnsi="Times New Roman"/>
          <w:sz w:val="24"/>
        </w:rPr>
        <w:t xml:space="preserve">, 599 U.S. at 155-56 (holding that where the alleged infringing mark is used as a trademark, meaning “to identify or brand [a defendant’s] goods or services,” the </w:t>
      </w:r>
      <w:r>
        <w:rPr>
          <w:rFonts w:ascii="Times New Roman" w:hAnsi="Times New Roman"/>
          <w:i/>
          <w:sz w:val="24"/>
        </w:rPr>
        <w:t xml:space="preserve">Rogers </w:t>
      </w:r>
      <w:r>
        <w:rPr>
          <w:rFonts w:ascii="Times New Roman" w:hAnsi="Times New Roman"/>
          <w:sz w:val="24"/>
        </w:rPr>
        <w:t xml:space="preserve">test is not to be applied, even if the use is also expressive); </w:t>
      </w:r>
      <w:r>
        <w:rPr>
          <w:rFonts w:ascii="Times New Roman" w:hAnsi="Times New Roman"/>
          <w:i/>
          <w:sz w:val="24"/>
        </w:rPr>
        <w:t>but see Hara v. Netflix, Inc.</w:t>
      </w:r>
      <w:r>
        <w:rPr>
          <w:rFonts w:ascii="Times New Roman" w:hAnsi="Times New Roman"/>
          <w:sz w:val="24"/>
        </w:rPr>
        <w:t xml:space="preserve">, 146 F.4th 872, 878 (9th Cir. 2025) (in observing that the </w:t>
      </w:r>
      <w:r>
        <w:rPr>
          <w:rFonts w:ascii="Times New Roman" w:hAnsi="Times New Roman"/>
          <w:i/>
          <w:sz w:val="24"/>
        </w:rPr>
        <w:t>Jack Daniel’s</w:t>
      </w:r>
      <w:r>
        <w:rPr>
          <w:rFonts w:ascii="Times New Roman" w:hAnsi="Times New Roman"/>
          <w:sz w:val="24"/>
        </w:rPr>
        <w:t xml:space="preserve"> court decision was “narrow” and did not reach the validity of the </w:t>
      </w:r>
      <w:r>
        <w:rPr>
          <w:rFonts w:ascii="Times New Roman" w:hAnsi="Times New Roman"/>
          <w:i/>
          <w:sz w:val="24"/>
        </w:rPr>
        <w:t xml:space="preserve">Rogers </w:t>
      </w:r>
      <w:r>
        <w:rPr>
          <w:rFonts w:ascii="Times New Roman" w:hAnsi="Times New Roman"/>
          <w:sz w:val="24"/>
        </w:rPr>
        <w:t xml:space="preserve">test, holding that the test applies because the ten-second use of the plaintiff’s “image and likeness in one episode of [an animated television series] and the related teaser and still image in no way suggests or identifies [the plaintiff] as a source or origin of the show”). That determination is informed by looking at the context in which the alleged infringing mark is being used, including “the way the product is marketed.” </w:t>
      </w:r>
      <w:r>
        <w:rPr>
          <w:rFonts w:ascii="Times New Roman" w:hAnsi="Times New Roman"/>
          <w:i/>
          <w:sz w:val="24"/>
        </w:rPr>
        <w:t>Id</w:t>
      </w:r>
      <w:r>
        <w:rPr>
          <w:rFonts w:ascii="Times New Roman" w:hAnsi="Times New Roman"/>
          <w:sz w:val="24"/>
        </w:rPr>
        <w:t xml:space="preserve">. at 160; </w:t>
      </w:r>
      <w:r>
        <w:rPr>
          <w:rFonts w:ascii="Times New Roman" w:hAnsi="Times New Roman"/>
          <w:i/>
          <w:sz w:val="24"/>
        </w:rPr>
        <w:t>see also Punchbowl</w:t>
      </w:r>
      <w:r>
        <w:rPr>
          <w:rFonts w:ascii="Times New Roman" w:hAnsi="Times New Roman"/>
          <w:sz w:val="24"/>
        </w:rPr>
        <w:t xml:space="preserve">, 90 F.4th at 1031 (stating that, because the alleged infringer had filed trademark applications to register its mark and used its mark to identify and distinguish its new products, it was using its mark to “designate the source of its own goods—in other words, has used a trademark as a trademark.” (quoting </w:t>
      </w:r>
      <w:r>
        <w:rPr>
          <w:rFonts w:ascii="Times New Roman" w:hAnsi="Times New Roman"/>
          <w:i/>
          <w:sz w:val="24"/>
        </w:rPr>
        <w:t>Jack Daniel’s</w:t>
      </w:r>
      <w:r>
        <w:rPr>
          <w:rFonts w:ascii="Times New Roman" w:hAnsi="Times New Roman"/>
          <w:sz w:val="24"/>
        </w:rPr>
        <w:t>, 599 U.S. at 145)). Trademark use may require factual findings made by jury.</w:t>
      </w:r>
      <w:r>
        <w:rPr>
          <w:rFonts w:ascii="Times New Roman" w:hAnsi="Times New Roman"/>
          <w:i/>
          <w:sz w:val="24"/>
        </w:rPr>
        <w:t xml:space="preserve"> See</w:t>
      </w:r>
      <w:r>
        <w:rPr>
          <w:rFonts w:ascii="Times New Roman" w:hAnsi="Times New Roman"/>
          <w:sz w:val="24"/>
        </w:rPr>
        <w:t xml:space="preserve"> 1 </w:t>
      </w:r>
      <w:r>
        <w:rPr>
          <w:rFonts w:ascii="Times New Roman" w:hAnsi="Times New Roman"/>
          <w:smallCaps/>
          <w:sz w:val="24"/>
        </w:rPr>
        <w:t>J. Thomas McCarthy, McCarthy on Trademarks and Unfair Competition</w:t>
      </w:r>
      <w:r>
        <w:rPr>
          <w:rFonts w:ascii="Times New Roman" w:hAnsi="Times New Roman"/>
          <w:sz w:val="24"/>
        </w:rPr>
        <w:t xml:space="preserve"> § 3:4 (5th ed. 2019) (“The key question is whether, as actually used, the designation is likely to be recognized . . . as an indication of origin for this particular product or service.”).</w:t>
      </w:r>
    </w:p>
    <w:p>
      <w:pPr>
        <w:spacing w:after="240"/>
        <w:ind w:firstLine="720"/>
      </w:pPr>
      <w:r>
        <w:rPr>
          <w:rFonts w:ascii="Times New Roman" w:hAnsi="Times New Roman"/>
          <w:sz w:val="24"/>
        </w:rPr>
        <w:t xml:space="preserve">Second, if the alleged infringing mark is not used as a trademark, the court must determine if the defendant met its burden by showing that “its allegedly infringing use is part of an expressive work protected by the First Amendment.” </w:t>
      </w:r>
      <w:r>
        <w:rPr>
          <w:rFonts w:ascii="Times New Roman" w:hAnsi="Times New Roman"/>
          <w:i/>
          <w:sz w:val="24"/>
        </w:rPr>
        <w:t>Punchbowl</w:t>
      </w:r>
      <w:r>
        <w:rPr>
          <w:rFonts w:ascii="Times New Roman" w:hAnsi="Times New Roman"/>
          <w:sz w:val="24"/>
        </w:rPr>
        <w:t xml:space="preserve">, 90 F.4th 1022, 1028; </w:t>
      </w:r>
      <w:r>
        <w:rPr>
          <w:rFonts w:ascii="Times New Roman" w:hAnsi="Times New Roman"/>
          <w:i/>
          <w:sz w:val="24"/>
        </w:rPr>
        <w:t>Twentieth Century Fox Television v. Empire Distrib.</w:t>
      </w:r>
      <w:r>
        <w:rPr>
          <w:rFonts w:ascii="Times New Roman" w:hAnsi="Times New Roman"/>
          <w:sz w:val="24"/>
        </w:rPr>
        <w:t xml:space="preserve">, 875 F.3d 1192, 1196 (9th Cir. 2017) (noting that whether a mark is an expressive work is a legal question); </w:t>
      </w:r>
      <w:r>
        <w:rPr>
          <w:rFonts w:ascii="Times New Roman" w:hAnsi="Times New Roman"/>
          <w:i/>
          <w:sz w:val="24"/>
        </w:rPr>
        <w:t>Punchbowl</w:t>
      </w:r>
      <w:r>
        <w:rPr>
          <w:rFonts w:ascii="Times New Roman" w:hAnsi="Times New Roman"/>
          <w:sz w:val="24"/>
        </w:rPr>
        <w:t xml:space="preserve">, 90 F.4th at 1031 (observing that, because </w:t>
      </w:r>
      <w:r>
        <w:rPr>
          <w:rFonts w:ascii="Times New Roman" w:hAnsi="Times New Roman"/>
          <w:i/>
          <w:sz w:val="24"/>
        </w:rPr>
        <w:t>Jack Daniel’s</w:t>
      </w:r>
      <w:r>
        <w:rPr>
          <w:rFonts w:ascii="Times New Roman" w:hAnsi="Times New Roman"/>
          <w:sz w:val="24"/>
        </w:rPr>
        <w:t xml:space="preserve"> was confined to a “narrow” point of law (that is, </w:t>
      </w:r>
      <w:r>
        <w:rPr>
          <w:rFonts w:ascii="Times New Roman" w:hAnsi="Times New Roman"/>
          <w:i/>
          <w:sz w:val="24"/>
        </w:rPr>
        <w:t>Rogers</w:t>
      </w:r>
      <w:r>
        <w:rPr>
          <w:rFonts w:ascii="Times New Roman" w:hAnsi="Times New Roman"/>
          <w:sz w:val="24"/>
        </w:rPr>
        <w:t xml:space="preserve"> does not apply when a mark is used as a mark), “preexisting Ninth Circuit precedent adopting and applying </w:t>
      </w:r>
      <w:r>
        <w:rPr>
          <w:rFonts w:ascii="Times New Roman" w:hAnsi="Times New Roman"/>
          <w:i/>
          <w:sz w:val="24"/>
        </w:rPr>
        <w:t>Rogers</w:t>
      </w:r>
      <w:r>
        <w:rPr>
          <w:rFonts w:ascii="Times New Roman" w:hAnsi="Times New Roman"/>
          <w:sz w:val="24"/>
        </w:rPr>
        <w:t xml:space="preserve"> otherwise remains intact”). A work is expressive if it “is communicating ideas or expressing points of view.” </w:t>
      </w:r>
      <w:r>
        <w:rPr>
          <w:rFonts w:ascii="Times New Roman" w:hAnsi="Times New Roman"/>
          <w:i/>
          <w:sz w:val="24"/>
        </w:rPr>
        <w:t>Mattel</w:t>
      </w:r>
      <w:r>
        <w:rPr>
          <w:rFonts w:ascii="Times New Roman" w:hAnsi="Times New Roman"/>
          <w:sz w:val="24"/>
        </w:rPr>
        <w:t xml:space="preserve">, 296 F.3d at 900 (quoting </w:t>
      </w:r>
      <w:r>
        <w:rPr>
          <w:rFonts w:ascii="Times New Roman" w:hAnsi="Times New Roman"/>
          <w:i/>
          <w:sz w:val="24"/>
        </w:rPr>
        <w:t>L.L. Bean, Inc. v. Drake Publishers</w:t>
      </w:r>
      <w:r>
        <w:rPr>
          <w:rFonts w:ascii="Times New Roman" w:hAnsi="Times New Roman"/>
          <w:sz w:val="24"/>
        </w:rPr>
        <w:t xml:space="preserve">, </w:t>
      </w:r>
      <w:r>
        <w:rPr>
          <w:rFonts w:ascii="Times New Roman" w:hAnsi="Times New Roman"/>
          <w:i/>
          <w:sz w:val="24"/>
        </w:rPr>
        <w:t>Inc.</w:t>
      </w:r>
      <w:r>
        <w:rPr>
          <w:rFonts w:ascii="Times New Roman" w:hAnsi="Times New Roman"/>
          <w:sz w:val="24"/>
        </w:rPr>
        <w:t xml:space="preserve">, 811 F.2d 26, 29 (1st Cir. 1987)). </w:t>
      </w:r>
      <w:r>
        <w:rPr>
          <w:rFonts w:ascii="Times New Roman" w:hAnsi="Times New Roman"/>
          <w:i/>
          <w:sz w:val="24"/>
        </w:rPr>
        <w:t>See also Brown v. Electronic Arts, Inc.</w:t>
      </w:r>
      <w:r>
        <w:rPr>
          <w:rFonts w:ascii="Times New Roman" w:hAnsi="Times New Roman"/>
          <w:sz w:val="24"/>
        </w:rPr>
        <w:t xml:space="preserve">, 724 F.3d 1235, 1241 (9th Cir. 2013) (observing that the </w:t>
      </w:r>
      <w:r>
        <w:rPr>
          <w:rFonts w:ascii="Times New Roman" w:hAnsi="Times New Roman"/>
          <w:i/>
          <w:sz w:val="24"/>
        </w:rPr>
        <w:t>Rogers</w:t>
      </w:r>
      <w:r>
        <w:rPr>
          <w:rFonts w:ascii="Times New Roman" w:hAnsi="Times New Roman"/>
          <w:sz w:val="24"/>
        </w:rPr>
        <w:t xml:space="preserve"> test protects an expressive work even if it is “not the expressive equal of Anna Karenina or Citizen Kane”).</w:t>
      </w:r>
    </w:p>
    <w:p>
      <w:pPr>
        <w:spacing w:after="240"/>
        <w:ind w:firstLine="720"/>
      </w:pPr>
      <w:r>
        <w:rPr>
          <w:rFonts w:ascii="Times New Roman" w:hAnsi="Times New Roman"/>
          <w:sz w:val="24"/>
        </w:rPr>
        <w:t xml:space="preserve">If the alleged infringing mark is not used as a trademark and is an expressive work, the </w:t>
      </w:r>
      <w:r>
        <w:rPr>
          <w:rFonts w:ascii="Times New Roman" w:hAnsi="Times New Roman"/>
          <w:i/>
          <w:sz w:val="24"/>
        </w:rPr>
        <w:t>Rogers</w:t>
      </w:r>
      <w:r>
        <w:rPr>
          <w:rFonts w:ascii="Times New Roman" w:hAnsi="Times New Roman"/>
          <w:sz w:val="24"/>
        </w:rPr>
        <w:t xml:space="preserve"> test tasks the plaintiff with proving that the defendant’s use of the plaintiff’s mark is not artistically relevant to the work or explicitly misleads consumers as to the source or the content of the work. </w:t>
      </w:r>
      <w:r>
        <w:rPr>
          <w:rFonts w:ascii="Times New Roman" w:hAnsi="Times New Roman"/>
          <w:i/>
          <w:sz w:val="24"/>
        </w:rPr>
        <w:t>Punchbowl</w:t>
      </w:r>
      <w:r>
        <w:rPr>
          <w:rFonts w:ascii="Times New Roman" w:hAnsi="Times New Roman"/>
          <w:sz w:val="24"/>
        </w:rPr>
        <w:t xml:space="preserve">, 90 F.4th at 1028 (citing </w:t>
      </w:r>
      <w:r>
        <w:rPr>
          <w:rFonts w:ascii="Times New Roman" w:hAnsi="Times New Roman"/>
          <w:i/>
          <w:sz w:val="24"/>
        </w:rPr>
        <w:t>Gordon</w:t>
      </w:r>
      <w:r>
        <w:rPr>
          <w:rFonts w:ascii="Times New Roman" w:hAnsi="Times New Roman"/>
          <w:sz w:val="24"/>
        </w:rPr>
        <w:t xml:space="preserve">, 909 F.3d at 264). Because “the level of artistic relevance of the trademark or other identifying material to the work merely must be above zero,” this instruction assumes that the artistic relevance prong will have been decided by the trial court. </w:t>
      </w:r>
      <w:r>
        <w:rPr>
          <w:rFonts w:ascii="Times New Roman" w:hAnsi="Times New Roman"/>
          <w:i/>
          <w:sz w:val="24"/>
        </w:rPr>
        <w:t>See Gordon</w:t>
      </w:r>
      <w:r>
        <w:rPr>
          <w:rFonts w:ascii="Times New Roman" w:hAnsi="Times New Roman"/>
          <w:sz w:val="24"/>
        </w:rPr>
        <w:t xml:space="preserve">, 909 F.3d at 269 (noting that “the slightest artistic relevance” will suffice to prove first prong of </w:t>
      </w:r>
      <w:r>
        <w:rPr>
          <w:rFonts w:ascii="Times New Roman" w:hAnsi="Times New Roman"/>
          <w:i/>
          <w:sz w:val="24"/>
        </w:rPr>
        <w:t xml:space="preserve">Rogers </w:t>
      </w:r>
      <w:r>
        <w:rPr>
          <w:rFonts w:ascii="Times New Roman" w:hAnsi="Times New Roman"/>
          <w:sz w:val="24"/>
        </w:rPr>
        <w:t>test).</w:t>
      </w:r>
    </w:p>
    <w:p>
      <w:pPr>
        <w:spacing w:after="240"/>
        <w:ind w:firstLine="720"/>
      </w:pPr>
      <w:r>
        <w:rPr>
          <w:rFonts w:ascii="Times New Roman" w:hAnsi="Times New Roman"/>
          <w:sz w:val="24"/>
        </w:rPr>
        <w:t xml:space="preserve">If the plaintiff has not met its burden of proving no artistic relevance, then the jury must decide if the alleged infringing mark is explicitly misleading. The defendant’s use of the mark is explicitly misleading only if it explicitly misleads consumers into believing that the plaintiff sponsored or is somehow associated with the allegedly infringing mark. </w:t>
      </w:r>
      <w:r>
        <w:rPr>
          <w:rFonts w:ascii="Times New Roman" w:hAnsi="Times New Roman"/>
          <w:i/>
          <w:sz w:val="24"/>
        </w:rPr>
        <w:t>Gordon</w:t>
      </w:r>
      <w:r>
        <w:rPr>
          <w:rFonts w:ascii="Times New Roman" w:hAnsi="Times New Roman"/>
          <w:sz w:val="24"/>
        </w:rPr>
        <w:t xml:space="preserve">, 909 F.3d at 270; </w:t>
      </w:r>
      <w:r>
        <w:rPr>
          <w:rFonts w:ascii="Times New Roman" w:hAnsi="Times New Roman"/>
          <w:i/>
          <w:sz w:val="24"/>
        </w:rPr>
        <w:t>see also Punchbowl</w:t>
      </w:r>
      <w:r>
        <w:rPr>
          <w:rFonts w:ascii="Times New Roman" w:hAnsi="Times New Roman"/>
          <w:sz w:val="24"/>
        </w:rPr>
        <w:t>, 90 F.4th at 1028 (observing that to be explicitly misleading, “there must be an explicit indication, overt claim, or explicit misstatement about the source of the work” (citation and internal quotation marks omitted)).</w:t>
      </w:r>
    </w:p>
    <w:p>
      <w:pPr>
        <w:spacing w:after="240"/>
        <w:ind w:firstLine="720"/>
      </w:pPr>
      <w:r>
        <w:rPr>
          <w:rFonts w:ascii="Times New Roman" w:hAnsi="Times New Roman"/>
          <w:sz w:val="24"/>
        </w:rPr>
        <w:t xml:space="preserve">If the plaintiff meets this burden, the plaintiff must proceed to prove trademark infringement under the Lanham Act. </w:t>
      </w:r>
      <w:r>
        <w:rPr>
          <w:rFonts w:ascii="Times New Roman" w:hAnsi="Times New Roman"/>
          <w:i/>
          <w:sz w:val="24"/>
        </w:rPr>
        <w:t>See</w:t>
      </w:r>
      <w:r>
        <w:rPr>
          <w:rFonts w:ascii="Times New Roman" w:hAnsi="Times New Roman"/>
          <w:sz w:val="24"/>
        </w:rPr>
        <w:t xml:space="preserve"> Instruction 15.6 (Infringement—Elements and Burden of Proof—Trademark); Instruction 15.8 (Infringement—Elements—Presumed Validity and Ownership—Registered Trademark); Instruction 15.9 (Infringement—Elements—Validity—Unregistered Marks); Instruction; Instruction 15.8 (Infringement—Elements—Presumed Validity and Ownership—Registered Trademark). If the jury finds that the allegedly infringing mark was not explicitly misleading, the trademark infringement claim falls outside the Lanham Act.</w:t>
      </w:r>
    </w:p>
    <w:p>
      <w:pPr>
        <w:spacing w:after="240"/>
        <w:ind w:firstLine="720"/>
      </w:pPr>
      <w:r>
        <w:rPr>
          <w:rFonts w:ascii="Times New Roman" w:hAnsi="Times New Roman"/>
          <w:i/>
          <w:sz w:val="24"/>
        </w:rPr>
        <w:t>Revised December 2025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