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8"/>
        </w:rPr>
        <w:t>15.9 Infringement—Elements—Validity—Unregistered Marks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[</w:t>
      </w:r>
      <w:r>
        <w:rPr>
          <w:rFonts w:ascii="Times New Roman" w:hAnsi="Times New Roman"/>
          <w:i/>
          <w:sz w:val="24"/>
          <w:u w:val="single"/>
        </w:rPr>
        <w:t>Describe plaintiff’s alleged trademark</w:t>
      </w:r>
      <w:r>
        <w:rPr>
          <w:rFonts w:ascii="Times New Roman" w:hAnsi="Times New Roman"/>
          <w:sz w:val="24"/>
        </w:rPr>
        <w:t>] is not registered. Unregistered trademarks can be valid and provide the trademark owner with the exclusive right to use that mark. Instruction [</w:t>
      </w:r>
      <w:r>
        <w:rPr>
          <w:rFonts w:ascii="Times New Roman" w:hAnsi="Times New Roman"/>
          <w:i/>
          <w:sz w:val="24"/>
          <w:u w:val="single"/>
        </w:rPr>
        <w:t>insert number of instruction regarding Trademark Elements and Burden of Proof, e.g., 15.6</w:t>
      </w:r>
      <w:r>
        <w:rPr>
          <w:rFonts w:ascii="Times New Roman" w:hAnsi="Times New Roman"/>
          <w:sz w:val="24"/>
        </w:rPr>
        <w:t>] requires the plaintiff to prove by a preponderance of the evidence that [</w:t>
      </w:r>
      <w:r>
        <w:rPr>
          <w:rFonts w:ascii="Times New Roman" w:hAnsi="Times New Roman"/>
          <w:i/>
          <w:sz w:val="24"/>
          <w:u w:val="single"/>
        </w:rPr>
        <w:t>describe plaintiff’s alleged trademark</w:t>
      </w:r>
      <w:r>
        <w:rPr>
          <w:rFonts w:ascii="Times New Roman" w:hAnsi="Times New Roman"/>
          <w:sz w:val="24"/>
        </w:rPr>
        <w:t>] is valid. A valid trademark is a [word, name, symbol, device, or any combination of these items] that is either: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&gt; (1)</w:t>
        <w:tab/>
        <w:t>inherently distinctive; or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&gt; (2)</w:t>
        <w:tab/>
        <w:t>descriptive but has acquired a secondary meaning.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[Only a valid trademark can be infringed.] [Only if you determine plaintiff proved by a preponderance of the evidence that the [</w:t>
      </w:r>
      <w:r>
        <w:rPr>
          <w:rFonts w:ascii="Times New Roman" w:hAnsi="Times New Roman"/>
          <w:i/>
          <w:sz w:val="24"/>
          <w:u w:val="single"/>
        </w:rPr>
        <w:t>describe plaintiff [name]’s alleged trademark</w:t>
      </w:r>
      <w:r>
        <w:rPr>
          <w:rFonts w:ascii="Times New Roman" w:hAnsi="Times New Roman"/>
          <w:sz w:val="24"/>
        </w:rPr>
        <w:t>] is a valid trademark should you consider whether plaintiff [</w:t>
      </w:r>
      <w:r>
        <w:rPr>
          <w:rFonts w:ascii="Times New Roman" w:hAnsi="Times New Roman"/>
          <w:sz w:val="24"/>
          <w:u w:val="single"/>
        </w:rPr>
        <w:t>name</w:t>
      </w:r>
      <w:r>
        <w:rPr>
          <w:rFonts w:ascii="Times New Roman" w:hAnsi="Times New Roman"/>
          <w:sz w:val="24"/>
        </w:rPr>
        <w:t>] owns it or whether defendant [</w:t>
      </w:r>
      <w:r>
        <w:rPr>
          <w:rFonts w:ascii="Times New Roman" w:hAnsi="Times New Roman"/>
          <w:sz w:val="24"/>
          <w:u w:val="single"/>
        </w:rPr>
        <w:t>name</w:t>
      </w:r>
      <w:r>
        <w:rPr>
          <w:rFonts w:ascii="Times New Roman" w:hAnsi="Times New Roman"/>
          <w:sz w:val="24"/>
        </w:rPr>
        <w:t>]’s actions infringed it.]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Only if you determine that [</w:t>
      </w:r>
      <w:r>
        <w:rPr>
          <w:rFonts w:ascii="Times New Roman" w:hAnsi="Times New Roman"/>
          <w:i/>
          <w:sz w:val="24"/>
          <w:u w:val="single"/>
        </w:rPr>
        <w:t>describe plaintiff [name]’s alleged trademark</w:t>
      </w:r>
      <w:r>
        <w:rPr>
          <w:rFonts w:ascii="Times New Roman" w:hAnsi="Times New Roman"/>
          <w:sz w:val="24"/>
        </w:rPr>
        <w:t>] is not inherently distinctive should you consider whether it is descriptive but became distinctive through the development of secondary meaning, as I will direct in Instruction [</w:t>
      </w:r>
      <w:r>
        <w:rPr>
          <w:rFonts w:ascii="Times New Roman" w:hAnsi="Times New Roman"/>
          <w:i/>
          <w:sz w:val="24"/>
          <w:u w:val="single"/>
        </w:rPr>
        <w:t>insert number of instruction regarding Distinctiveness and Secondary Meaning, e.g., 15.11</w:t>
      </w:r>
      <w:r>
        <w:rPr>
          <w:rFonts w:ascii="Times New Roman" w:hAnsi="Times New Roman"/>
          <w:sz w:val="24"/>
        </w:rPr>
        <w:t>].</w:t>
      </w:r>
    </w:p>
    <w:p>
      <w:pPr>
        <w:jc w:val="center"/>
      </w:pPr>
      <w:r>
        <w:rPr>
          <w:rFonts w:ascii="Times New Roman" w:hAnsi="Times New Roman"/>
          <w:b/>
          <w:sz w:val="24"/>
        </w:rPr>
        <w:t>Comment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 xml:space="preserve">A trademark is valid only if it is inherently distinctive or if it became distinctive through development of secondary meaning. </w:t>
      </w:r>
      <w:r>
        <w:rPr>
          <w:rFonts w:ascii="Times New Roman" w:hAnsi="Times New Roman"/>
          <w:i/>
          <w:sz w:val="24"/>
        </w:rPr>
        <w:t>Two Pesos, Inc. v. Taco Cabana, Int’l Inc</w:t>
      </w:r>
      <w:r>
        <w:rPr>
          <w:rFonts w:ascii="Times New Roman" w:hAnsi="Times New Roman"/>
          <w:sz w:val="24"/>
        </w:rPr>
        <w:t xml:space="preserve">., 932 F.2d 1113 (5th Cir. 1991), </w:t>
      </w:r>
      <w:r>
        <w:rPr>
          <w:rFonts w:ascii="Times New Roman" w:hAnsi="Times New Roman"/>
          <w:i/>
          <w:sz w:val="24"/>
        </w:rPr>
        <w:t>aff’d</w:t>
      </w:r>
      <w:r>
        <w:rPr>
          <w:rFonts w:ascii="Times New Roman" w:hAnsi="Times New Roman"/>
          <w:sz w:val="24"/>
        </w:rPr>
        <w:t xml:space="preserve">, 505 U.S. 763, 769 (1992). Whether a symbol acquired secondary meaning is a question of fact for the jury. </w:t>
      </w:r>
      <w:r>
        <w:rPr>
          <w:rFonts w:ascii="Times New Roman" w:hAnsi="Times New Roman"/>
          <w:i/>
          <w:sz w:val="24"/>
        </w:rPr>
        <w:t>See Transgo, Inc. v. Ajac Transmissions Parts Corp.</w:t>
      </w:r>
      <w:r>
        <w:rPr>
          <w:rFonts w:ascii="Times New Roman" w:hAnsi="Times New Roman"/>
          <w:sz w:val="24"/>
        </w:rPr>
        <w:t>, 768 F.2d 1001, 1015 (9th Cir. 1985).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In trademark law, the Supreme Court has noted that using the term “secondary meaning”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when referring to descriptive non-word marks that have acquired “source-identifying meaning”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“is often a misnomer in that context, since non-word marks ordinarily have no ‘primary’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 xml:space="preserve">meaning” and “[c]larity might well be served by using the term ‘acquired meaning’ in both the word-mark and the non-word-mark contexts.” </w:t>
      </w:r>
      <w:r>
        <w:rPr>
          <w:rFonts w:ascii="Times New Roman" w:hAnsi="Times New Roman"/>
          <w:i/>
          <w:sz w:val="24"/>
        </w:rPr>
        <w:t>Wal-Mart Stores, Inc. v. Samara Bros., Inc.</w:t>
      </w:r>
      <w:r>
        <w:rPr>
          <w:rFonts w:ascii="Times New Roman" w:hAnsi="Times New Roman"/>
          <w:sz w:val="24"/>
        </w:rPr>
        <w:t>, 529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U.S. 205, 211 n.* (2000). However, the Ninth Circuit continues to use the term “secondary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 xml:space="preserve">meaning.” </w:t>
      </w:r>
      <w:r>
        <w:rPr>
          <w:rFonts w:ascii="Times New Roman" w:hAnsi="Times New Roman"/>
          <w:i/>
          <w:sz w:val="24"/>
        </w:rPr>
        <w:t>See Jason Scott Collection, Inc. v. Trendily Furniture, LLC</w:t>
      </w:r>
      <w:r>
        <w:rPr>
          <w:rFonts w:ascii="Times New Roman" w:hAnsi="Times New Roman"/>
          <w:sz w:val="24"/>
        </w:rPr>
        <w:t>, 68 F.4th 1203, 1212 (9th Cir. 2023) (“To obtain a judgment for trade dress infringement, a plaintiff must prove: (1) that its claimed trade dress is nonfunctional; (2) that its claimed dress serves a source-identifying role either because it is inherently distinctive or has acquired secondary meaning; and (3) that the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 xml:space="preserve">defendant’s product or service creates a likelihood of consumer confusion.”) (citation omitted)); </w:t>
      </w:r>
      <w:r>
        <w:rPr>
          <w:rFonts w:ascii="Times New Roman" w:hAnsi="Times New Roman"/>
          <w:i/>
          <w:sz w:val="24"/>
        </w:rPr>
        <w:t>P &amp; P Imps. LLC v. Johnson Enters., LLC</w:t>
      </w:r>
      <w:r>
        <w:rPr>
          <w:rFonts w:ascii="Times New Roman" w:hAnsi="Times New Roman"/>
          <w:sz w:val="24"/>
        </w:rPr>
        <w:t>, 46 F.4th 953, 958 (9th Cir. 2022) (enumerating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elements for trade dress infringement as “(1) the trade dress is nonfunctional, (2) the trade dress has acquired secondary meaning, and (3) there is a substantial likelihood of confusion between [the parties’] products.” (citation omitted)). If using the term “acquired meaning” would provide clarity for the jury in trademark cases involving non-word marks, the court may opt to use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“acquired meaning” throughout its instructions in place of or in addition to “secondary</w:t>
      </w:r>
    </w:p>
    <w:p>
      <w:pPr>
        <w:spacing w:after="240"/>
        <w:ind w:firstLine="720"/>
      </w:pPr>
      <w:r>
        <w:rPr>
          <w:rFonts w:ascii="Times New Roman" w:hAnsi="Times New Roman"/>
          <w:sz w:val="24"/>
        </w:rPr>
        <w:t>meaning.”</w:t>
      </w:r>
    </w:p>
    <w:p>
      <w:pPr>
        <w:spacing w:after="240"/>
        <w:ind w:firstLine="720"/>
      </w:pPr>
      <w:r>
        <w:rPr>
          <w:rFonts w:ascii="Times New Roman" w:hAnsi="Times New Roman"/>
          <w:i/>
          <w:sz w:val="24"/>
        </w:rPr>
        <w:t xml:space="preserve">See also </w:t>
      </w:r>
      <w:r>
        <w:rPr>
          <w:rFonts w:ascii="Times New Roman" w:hAnsi="Times New Roman"/>
          <w:sz w:val="24"/>
        </w:rPr>
        <w:t>Instruction 15.11 (Infringement—Elements—Validity—Distinctiveness—Secondary Meaning).</w:t>
      </w:r>
    </w:p>
    <w:p>
      <w:pPr>
        <w:spacing w:after="240"/>
        <w:ind w:firstLine="720"/>
      </w:pPr>
      <w:r>
        <w:rPr>
          <w:rFonts w:ascii="Times New Roman" w:hAnsi="Times New Roman"/>
          <w:i/>
          <w:sz w:val="24"/>
        </w:rPr>
        <w:t>Revised June 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