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17.17 Copying—Access and Substantial Similarity</w:t>
      </w:r>
    </w:p>
    <w:p>
      <w:pPr>
        <w:spacing w:after="240"/>
        <w:ind w:firstLine="720"/>
      </w:pPr>
      <w:r>
        <w:rPr>
          <w:rFonts w:ascii="Times New Roman" w:hAnsi="Times New Roman"/>
          <w:sz w:val="24"/>
        </w:rPr>
        <w:t>Instruction [</w:t>
      </w:r>
      <w:r>
        <w:rPr>
          <w:rFonts w:ascii="Times New Roman" w:hAnsi="Times New Roman"/>
          <w:i/>
          <w:sz w:val="24"/>
          <w:u w:val="single"/>
        </w:rPr>
        <w:t>insert cross reference to the pertinent instruction, e.g., Instruction 17.5</w:t>
      </w:r>
      <w:r>
        <w:rPr>
          <w:rFonts w:ascii="Times New Roman" w:hAnsi="Times New Roman"/>
          <w:sz w:val="24"/>
        </w:rPr>
        <w:t>] states that the plaintiff [</w:t>
      </w:r>
      <w:r>
        <w:rPr>
          <w:rFonts w:ascii="Times New Roman" w:hAnsi="Times New Roman"/>
          <w:i/>
          <w:sz w:val="24"/>
          <w:u w:val="single"/>
        </w:rPr>
        <w:t>name</w:t>
      </w:r>
      <w:r>
        <w:rPr>
          <w:rFonts w:ascii="Times New Roman" w:hAnsi="Times New Roman"/>
          <w:sz w:val="24"/>
        </w:rPr>
        <w:t>] has the burden of proving that the defendant [</w:t>
      </w:r>
      <w:r>
        <w:rPr>
          <w:rFonts w:ascii="Times New Roman" w:hAnsi="Times New Roman"/>
          <w:i/>
          <w:sz w:val="24"/>
          <w:u w:val="single"/>
        </w:rPr>
        <w:t>name</w:t>
      </w:r>
      <w:r>
        <w:rPr>
          <w:rFonts w:ascii="Times New Roman" w:hAnsi="Times New Roman"/>
          <w:sz w:val="24"/>
        </w:rPr>
        <w:t>] copied original elements from the plaintiff [</w:t>
      </w:r>
      <w:r>
        <w:rPr>
          <w:rFonts w:ascii="Times New Roman" w:hAnsi="Times New Roman"/>
          <w:i/>
          <w:sz w:val="24"/>
          <w:u w:val="single"/>
        </w:rPr>
        <w:t>name</w:t>
      </w:r>
      <w:r>
        <w:rPr>
          <w:rFonts w:ascii="Times New Roman" w:hAnsi="Times New Roman"/>
          <w:sz w:val="24"/>
        </w:rPr>
        <w:t>]’s copyrighted work. The plaintiff [</w:t>
      </w:r>
      <w:r>
        <w:rPr>
          <w:rFonts w:ascii="Times New Roman" w:hAnsi="Times New Roman"/>
          <w:i/>
          <w:sz w:val="24"/>
          <w:u w:val="single"/>
        </w:rPr>
        <w:t>name</w:t>
      </w:r>
      <w:r>
        <w:rPr>
          <w:rFonts w:ascii="Times New Roman" w:hAnsi="Times New Roman"/>
          <w:sz w:val="24"/>
        </w:rPr>
        <w:t>] can prove that the defendant [</w:t>
      </w:r>
      <w:r>
        <w:rPr>
          <w:rFonts w:ascii="Times New Roman" w:hAnsi="Times New Roman"/>
          <w:i/>
          <w:sz w:val="24"/>
          <w:u w:val="single"/>
        </w:rPr>
        <w:t>name</w:t>
      </w:r>
      <w:r>
        <w:rPr>
          <w:rFonts w:ascii="Times New Roman" w:hAnsi="Times New Roman"/>
          <w:sz w:val="24"/>
        </w:rPr>
        <w:t>] copied from the work [by proving by a preponderance of the evidence that the defendant [</w:t>
      </w:r>
      <w:r>
        <w:rPr>
          <w:rFonts w:ascii="Times New Roman" w:hAnsi="Times New Roman"/>
          <w:i/>
          <w:sz w:val="24"/>
          <w:u w:val="single"/>
        </w:rPr>
        <w:t>name</w:t>
      </w:r>
      <w:r>
        <w:rPr>
          <w:rFonts w:ascii="Times New Roman" w:hAnsi="Times New Roman"/>
          <w:sz w:val="24"/>
        </w:rPr>
        <w:t>] had access to the plaintiff [</w:t>
      </w:r>
      <w:r>
        <w:rPr>
          <w:rFonts w:ascii="Times New Roman" w:hAnsi="Times New Roman"/>
          <w:i/>
          <w:sz w:val="24"/>
          <w:u w:val="single"/>
        </w:rPr>
        <w:t>name</w:t>
      </w:r>
      <w:r>
        <w:rPr>
          <w:rFonts w:ascii="Times New Roman" w:hAnsi="Times New Roman"/>
          <w:sz w:val="24"/>
        </w:rPr>
        <w:t>]’s copyrighted work and that there are substantial similarities between the defendant [</w:t>
      </w:r>
      <w:r>
        <w:rPr>
          <w:rFonts w:ascii="Times New Roman" w:hAnsi="Times New Roman"/>
          <w:i/>
          <w:sz w:val="24"/>
          <w:u w:val="single"/>
        </w:rPr>
        <w:t>name</w:t>
      </w:r>
      <w:r>
        <w:rPr>
          <w:rFonts w:ascii="Times New Roman" w:hAnsi="Times New Roman"/>
          <w:sz w:val="24"/>
        </w:rPr>
        <w:t>]’s work and original elements of the plaintiff [</w:t>
      </w:r>
      <w:r>
        <w:rPr>
          <w:rFonts w:ascii="Times New Roman" w:hAnsi="Times New Roman"/>
          <w:i/>
          <w:sz w:val="24"/>
          <w:u w:val="single"/>
        </w:rPr>
        <w:t>name</w:t>
      </w:r>
      <w:r>
        <w:rPr>
          <w:rFonts w:ascii="Times New Roman" w:hAnsi="Times New Roman"/>
          <w:sz w:val="24"/>
        </w:rPr>
        <w:t>]’s work] [by proving by a preponderance of the evidence that there is a striking similarity between the defendant [</w:t>
      </w:r>
      <w:r>
        <w:rPr>
          <w:rFonts w:ascii="Times New Roman" w:hAnsi="Times New Roman"/>
          <w:i/>
          <w:sz w:val="24"/>
          <w:u w:val="single"/>
        </w:rPr>
        <w:t>name</w:t>
      </w:r>
      <w:r>
        <w:rPr>
          <w:rFonts w:ascii="Times New Roman" w:hAnsi="Times New Roman"/>
          <w:sz w:val="24"/>
        </w:rPr>
        <w:t>]’s work and the plaintiff [</w:t>
      </w:r>
      <w:r>
        <w:rPr>
          <w:rFonts w:ascii="Times New Roman" w:hAnsi="Times New Roman"/>
          <w:i/>
          <w:sz w:val="24"/>
          <w:u w:val="single"/>
        </w:rPr>
        <w:t>name</w:t>
      </w:r>
      <w:r>
        <w:rPr>
          <w:rFonts w:ascii="Times New Roman" w:hAnsi="Times New Roman"/>
          <w:sz w:val="24"/>
        </w:rPr>
        <w:t>]’s copyrighted work]. If the plaintiff [</w:t>
      </w:r>
      <w:r>
        <w:rPr>
          <w:rFonts w:ascii="Times New Roman" w:hAnsi="Times New Roman"/>
          <w:i/>
          <w:sz w:val="24"/>
          <w:u w:val="single"/>
        </w:rPr>
        <w:t>name</w:t>
      </w:r>
      <w:r>
        <w:rPr>
          <w:rFonts w:ascii="Times New Roman" w:hAnsi="Times New Roman"/>
          <w:sz w:val="24"/>
        </w:rPr>
        <w:t>] fails to prove that the defendant copied the plaintiff [</w:t>
      </w:r>
      <w:r>
        <w:rPr>
          <w:rFonts w:ascii="Times New Roman" w:hAnsi="Times New Roman"/>
          <w:i/>
          <w:sz w:val="24"/>
          <w:u w:val="single"/>
        </w:rPr>
        <w:t>name</w:t>
      </w:r>
      <w:r>
        <w:rPr>
          <w:rFonts w:ascii="Times New Roman" w:hAnsi="Times New Roman"/>
          <w:sz w:val="24"/>
        </w:rPr>
        <w:t>]’s work, your verdict should be for the defendant [</w:t>
      </w:r>
      <w:r>
        <w:rPr>
          <w:rFonts w:ascii="Times New Roman" w:hAnsi="Times New Roman"/>
          <w:i/>
          <w:sz w:val="24"/>
          <w:u w:val="single"/>
        </w:rPr>
        <w:t>name</w:t>
      </w:r>
      <w:r>
        <w:rPr>
          <w:rFonts w:ascii="Times New Roman" w:hAnsi="Times New Roman"/>
          <w:sz w:val="24"/>
        </w:rPr>
        <w:t>].</w:t>
      </w:r>
    </w:p>
    <w:p>
      <w:pPr>
        <w:jc w:val="center"/>
      </w:pPr>
      <w:r>
        <w:rPr>
          <w:rFonts w:ascii="Times New Roman" w:hAnsi="Times New Roman"/>
          <w:b/>
          <w:sz w:val="24"/>
        </w:rPr>
        <w:t>Comment</w:t>
      </w:r>
    </w:p>
    <w:p>
      <w:pPr>
        <w:spacing w:after="240"/>
        <w:ind w:firstLine="720"/>
      </w:pPr>
      <w:r>
        <w:rPr>
          <w:rFonts w:ascii="Times New Roman" w:hAnsi="Times New Roman"/>
          <w:sz w:val="24"/>
        </w:rPr>
        <w:t xml:space="preserve">This instruction explains how a plaintiff can satisfy the burden of proving the second requirement set forth in Instruction 17.5: that “the defendant copied original expression from the copyrighted work.” The Ninth Circuit has historically described this test as having two elements: “access” and “substantial similarity.” </w:t>
      </w:r>
      <w:r>
        <w:rPr>
          <w:rFonts w:ascii="Times New Roman" w:hAnsi="Times New Roman"/>
          <w:i/>
          <w:sz w:val="24"/>
        </w:rPr>
        <w:t>See, e.g.</w:t>
      </w:r>
      <w:r>
        <w:rPr>
          <w:rFonts w:ascii="Times New Roman" w:hAnsi="Times New Roman"/>
          <w:sz w:val="24"/>
        </w:rPr>
        <w:t xml:space="preserve">, </w:t>
      </w:r>
      <w:r>
        <w:rPr>
          <w:rFonts w:ascii="Times New Roman" w:hAnsi="Times New Roman"/>
          <w:i/>
          <w:sz w:val="24"/>
        </w:rPr>
        <w:t>Sid &amp; Marty Krofft Television Prods., Inc. v. McDonald’s Corp.</w:t>
      </w:r>
      <w:r>
        <w:rPr>
          <w:rFonts w:ascii="Times New Roman" w:hAnsi="Times New Roman"/>
          <w:sz w:val="24"/>
        </w:rPr>
        <w:t>, 562 F.2d 1157, 1162 (9th Cir. 1977);</w:t>
      </w:r>
      <w:r>
        <w:rPr>
          <w:rFonts w:ascii="Times New Roman" w:hAnsi="Times New Roman"/>
          <w:i/>
          <w:sz w:val="24"/>
        </w:rPr>
        <w:t xml:space="preserve"> Transgo, Inc. v. Ajac Transmission Parts Corp.</w:t>
      </w:r>
      <w:r>
        <w:rPr>
          <w:rFonts w:ascii="Times New Roman" w:hAnsi="Times New Roman"/>
          <w:sz w:val="24"/>
        </w:rPr>
        <w:t xml:space="preserve">, 768 F.2d 1001, 1018 (9th Cir. 1985); </w:t>
      </w:r>
      <w:r>
        <w:rPr>
          <w:rFonts w:ascii="Times New Roman" w:hAnsi="Times New Roman"/>
          <w:i/>
          <w:sz w:val="24"/>
        </w:rPr>
        <w:t>Three Boys Music Corp. v. Bolton</w:t>
      </w:r>
      <w:r>
        <w:rPr>
          <w:rFonts w:ascii="Times New Roman" w:hAnsi="Times New Roman"/>
          <w:sz w:val="24"/>
        </w:rPr>
        <w:t xml:space="preserve">, 212 F.3d 477, 481 (9th Cir. 2000); </w:t>
      </w:r>
      <w:r>
        <w:rPr>
          <w:rFonts w:ascii="Times New Roman" w:hAnsi="Times New Roman"/>
          <w:i/>
          <w:sz w:val="24"/>
        </w:rPr>
        <w:t>Antonick v. Elec. Arts, Inc.</w:t>
      </w:r>
      <w:r>
        <w:rPr>
          <w:rFonts w:ascii="Times New Roman" w:hAnsi="Times New Roman"/>
          <w:sz w:val="24"/>
        </w:rPr>
        <w:t xml:space="preserve">, 841 F.3d 1062, 1065 (9th Cir. 2016); </w:t>
      </w:r>
      <w:r>
        <w:rPr>
          <w:rFonts w:ascii="Times New Roman" w:hAnsi="Times New Roman"/>
          <w:i/>
          <w:sz w:val="24"/>
        </w:rPr>
        <w:t xml:space="preserve">see also </w:t>
      </w:r>
      <w:r>
        <w:rPr>
          <w:rFonts w:ascii="Times New Roman" w:hAnsi="Times New Roman"/>
          <w:sz w:val="24"/>
        </w:rPr>
        <w:t xml:space="preserve">Comment to Instruction 17.1 (Preliminary Instruction—Copyright). In some cases, the Ninth Circuit has described the elements as “copying” and “unlawful appropriation,” borrowing the Second Circuit’s description from </w:t>
      </w:r>
      <w:r>
        <w:rPr>
          <w:rFonts w:ascii="Times New Roman" w:hAnsi="Times New Roman"/>
          <w:i/>
          <w:sz w:val="24"/>
        </w:rPr>
        <w:t>Arnstein v. Porter</w:t>
      </w:r>
      <w:r>
        <w:rPr>
          <w:rFonts w:ascii="Times New Roman" w:hAnsi="Times New Roman"/>
          <w:sz w:val="24"/>
        </w:rPr>
        <w:t>, 154 F.2d 464, 468 (2d Cir. 1946).</w:t>
      </w:r>
      <w:r>
        <w:rPr>
          <w:rFonts w:ascii="Times New Roman" w:hAnsi="Times New Roman"/>
          <w:i/>
          <w:sz w:val="24"/>
        </w:rPr>
        <w:t xml:space="preserve"> See Rentmeester v. Nike, Inc.</w:t>
      </w:r>
      <w:r>
        <w:rPr>
          <w:rFonts w:ascii="Times New Roman" w:hAnsi="Times New Roman"/>
          <w:sz w:val="24"/>
        </w:rPr>
        <w:t xml:space="preserve">, 883 F.3d 1111, 1117 (9th Cir. 2018) (acknowledging that “our cases have not always made this point explicit,” then citing </w:t>
      </w:r>
      <w:r>
        <w:rPr>
          <w:rFonts w:ascii="Times New Roman" w:hAnsi="Times New Roman"/>
          <w:i/>
          <w:sz w:val="24"/>
        </w:rPr>
        <w:t>Arnstein</w:t>
      </w:r>
      <w:r>
        <w:rPr>
          <w:rFonts w:ascii="Times New Roman" w:hAnsi="Times New Roman"/>
          <w:sz w:val="24"/>
        </w:rPr>
        <w:t xml:space="preserve">); </w:t>
      </w:r>
      <w:r>
        <w:rPr>
          <w:rFonts w:ascii="Times New Roman" w:hAnsi="Times New Roman"/>
          <w:i/>
          <w:sz w:val="24"/>
        </w:rPr>
        <w:t>Skidmore v. Led Zeppelin</w:t>
      </w:r>
      <w:r>
        <w:rPr>
          <w:rFonts w:ascii="Times New Roman" w:hAnsi="Times New Roman"/>
          <w:sz w:val="24"/>
        </w:rPr>
        <w:t xml:space="preserve">, 952 F.3d 1051, 1064 (9th Cir. 2020) (en banc) (citing </w:t>
      </w:r>
      <w:r>
        <w:rPr>
          <w:rFonts w:ascii="Times New Roman" w:hAnsi="Times New Roman"/>
          <w:i/>
          <w:sz w:val="24"/>
        </w:rPr>
        <w:t>Rentmeester</w:t>
      </w:r>
      <w:r>
        <w:rPr>
          <w:rFonts w:ascii="Times New Roman" w:hAnsi="Times New Roman"/>
          <w:sz w:val="24"/>
        </w:rPr>
        <w:t xml:space="preserve">). Both </w:t>
      </w:r>
      <w:r>
        <w:rPr>
          <w:rFonts w:ascii="Times New Roman" w:hAnsi="Times New Roman"/>
          <w:i/>
          <w:sz w:val="24"/>
        </w:rPr>
        <w:t>Rentmeester</w:t>
      </w:r>
      <w:r>
        <w:rPr>
          <w:rFonts w:ascii="Times New Roman" w:hAnsi="Times New Roman"/>
          <w:sz w:val="24"/>
        </w:rPr>
        <w:t xml:space="preserve"> and </w:t>
      </w:r>
      <w:r>
        <w:rPr>
          <w:rFonts w:ascii="Times New Roman" w:hAnsi="Times New Roman"/>
          <w:i/>
          <w:sz w:val="24"/>
        </w:rPr>
        <w:t xml:space="preserve">Skidmore </w:t>
      </w:r>
      <w:r>
        <w:rPr>
          <w:rFonts w:ascii="Times New Roman" w:hAnsi="Times New Roman"/>
          <w:sz w:val="24"/>
        </w:rPr>
        <w:t xml:space="preserve">applied the elements of the </w:t>
      </w:r>
      <w:r>
        <w:rPr>
          <w:rFonts w:ascii="Times New Roman" w:hAnsi="Times New Roman"/>
          <w:i/>
          <w:sz w:val="24"/>
        </w:rPr>
        <w:t>Arnstein</w:t>
      </w:r>
      <w:r>
        <w:rPr>
          <w:rFonts w:ascii="Times New Roman" w:hAnsi="Times New Roman"/>
          <w:sz w:val="24"/>
        </w:rPr>
        <w:t xml:space="preserve"> test in similar ways to access and substantial similarity. </w:t>
      </w:r>
      <w:r>
        <w:rPr>
          <w:rFonts w:ascii="Times New Roman" w:hAnsi="Times New Roman"/>
          <w:i/>
          <w:sz w:val="24"/>
        </w:rPr>
        <w:t>See Rentmeester</w:t>
      </w:r>
      <w:r>
        <w:rPr>
          <w:rFonts w:ascii="Times New Roman" w:hAnsi="Times New Roman"/>
          <w:sz w:val="24"/>
        </w:rPr>
        <w:t xml:space="preserve">, 883 F.3d at 1117 (analyzing the “copying” element by discussing “access” and the “unlawful appropriation” element by discussing “substantial similarity”); </w:t>
      </w:r>
      <w:r>
        <w:rPr>
          <w:rFonts w:ascii="Times New Roman" w:hAnsi="Times New Roman"/>
          <w:i/>
          <w:sz w:val="24"/>
        </w:rPr>
        <w:t>Skidmore</w:t>
      </w:r>
      <w:r>
        <w:rPr>
          <w:rFonts w:ascii="Times New Roman" w:hAnsi="Times New Roman"/>
          <w:sz w:val="24"/>
        </w:rPr>
        <w:t xml:space="preserve">, 952 F.3d at 1064 (“[T]he hallmark of ‘unlawful appropriation’ is that the works share substantial similarities.”) (emphasis deleted). Cases since </w:t>
      </w:r>
      <w:r>
        <w:rPr>
          <w:rFonts w:ascii="Times New Roman" w:hAnsi="Times New Roman"/>
          <w:i/>
          <w:sz w:val="24"/>
        </w:rPr>
        <w:t>Skidmore</w:t>
      </w:r>
      <w:r>
        <w:rPr>
          <w:rFonts w:ascii="Times New Roman" w:hAnsi="Times New Roman"/>
          <w:sz w:val="24"/>
        </w:rPr>
        <w:t xml:space="preserve"> have continued to refer to the copying test as requiring access and substantial similarity. </w:t>
      </w:r>
      <w:r>
        <w:rPr>
          <w:rFonts w:ascii="Times New Roman" w:hAnsi="Times New Roman"/>
          <w:i/>
          <w:sz w:val="24"/>
        </w:rPr>
        <w:t>See, e.g.</w:t>
      </w:r>
      <w:r>
        <w:rPr>
          <w:rFonts w:ascii="Times New Roman" w:hAnsi="Times New Roman"/>
          <w:sz w:val="24"/>
        </w:rPr>
        <w:t xml:space="preserve">, </w:t>
      </w:r>
      <w:r>
        <w:rPr>
          <w:rFonts w:ascii="Times New Roman" w:hAnsi="Times New Roman"/>
          <w:i/>
          <w:sz w:val="24"/>
        </w:rPr>
        <w:t>Unicolors, Inc. v. H&amp;M Hennes &amp; Mauritz, L.P.</w:t>
      </w:r>
      <w:r>
        <w:rPr>
          <w:rFonts w:ascii="Times New Roman" w:hAnsi="Times New Roman"/>
          <w:sz w:val="24"/>
        </w:rPr>
        <w:t xml:space="preserve">, 52 F.4th 1054, 1084 (9th Cir. 2022); </w:t>
      </w:r>
      <w:r>
        <w:rPr>
          <w:rFonts w:ascii="Times New Roman" w:hAnsi="Times New Roman"/>
          <w:i/>
          <w:sz w:val="24"/>
        </w:rPr>
        <w:t>Gray v. Hudson</w:t>
      </w:r>
      <w:r>
        <w:rPr>
          <w:rFonts w:ascii="Times New Roman" w:hAnsi="Times New Roman"/>
          <w:sz w:val="24"/>
        </w:rPr>
        <w:t xml:space="preserve">, 28 F.4th 87, 96 (9th Cir. 2022); </w:t>
      </w:r>
      <w:r>
        <w:rPr>
          <w:rFonts w:ascii="Times New Roman" w:hAnsi="Times New Roman"/>
          <w:i/>
          <w:sz w:val="24"/>
        </w:rPr>
        <w:t>Woodland v. Hill</w:t>
      </w:r>
      <w:r>
        <w:rPr>
          <w:rFonts w:ascii="Times New Roman" w:hAnsi="Times New Roman"/>
          <w:sz w:val="24"/>
        </w:rPr>
        <w:t>, 136 F.4th 1199, 1210 (9th Cir. 2025) (rejecting plaintiff’s theory that allegations of copying of twelve photos showed serial infringement and “raise[d] an inference of copying”).</w:t>
      </w:r>
    </w:p>
    <w:p>
      <w:pPr>
        <w:spacing w:after="240"/>
        <w:ind w:firstLine="720"/>
      </w:pPr>
      <w:r>
        <w:rPr>
          <w:rFonts w:ascii="Times New Roman" w:hAnsi="Times New Roman"/>
          <w:sz w:val="24"/>
        </w:rPr>
        <w:t xml:space="preserve">Access and substantial similarity are each explained further in the following two instructions. </w:t>
      </w:r>
      <w:r>
        <w:rPr>
          <w:rFonts w:ascii="Times New Roman" w:hAnsi="Times New Roman"/>
          <w:i/>
          <w:sz w:val="24"/>
        </w:rPr>
        <w:t xml:space="preserve">See </w:t>
      </w:r>
      <w:r>
        <w:rPr>
          <w:rFonts w:ascii="Times New Roman" w:hAnsi="Times New Roman"/>
          <w:sz w:val="24"/>
        </w:rPr>
        <w:t>Instruction 17.18 (Copyright Infringement—Copying—Access Defined), and 17.19 (Substantial Similarity—Extrinsic Test; Intrinsic Test).</w:t>
      </w:r>
    </w:p>
    <w:p>
      <w:pPr>
        <w:spacing w:after="240"/>
        <w:ind w:firstLine="720"/>
      </w:pPr>
      <w:r>
        <w:rPr>
          <w:rFonts w:ascii="Times New Roman" w:hAnsi="Times New Roman"/>
          <w:sz w:val="24"/>
        </w:rPr>
        <w:t>If it can be determined that either access or substantial similarity are lacking in a</w:t>
      </w:r>
    </w:p>
    <w:p>
      <w:pPr>
        <w:spacing w:after="240"/>
        <w:ind w:firstLine="720"/>
      </w:pPr>
      <w:r>
        <w:rPr>
          <w:rFonts w:ascii="Times New Roman" w:hAnsi="Times New Roman"/>
          <w:sz w:val="24"/>
        </w:rPr>
        <w:t>particular case, the remaining prong need not be addressed; failure on either prong is sufficient</w:t>
      </w:r>
    </w:p>
    <w:p>
      <w:pPr>
        <w:spacing w:after="240"/>
        <w:ind w:firstLine="720"/>
      </w:pPr>
      <w:r>
        <w:rPr>
          <w:rFonts w:ascii="Times New Roman" w:hAnsi="Times New Roman"/>
          <w:sz w:val="24"/>
        </w:rPr>
        <w:t xml:space="preserve">for failure of the claim. </w:t>
      </w:r>
      <w:r>
        <w:rPr>
          <w:rFonts w:ascii="Times New Roman" w:hAnsi="Times New Roman"/>
          <w:i/>
          <w:sz w:val="24"/>
        </w:rPr>
        <w:t>See Gray v. Hudson</w:t>
      </w:r>
      <w:r>
        <w:rPr>
          <w:rFonts w:ascii="Times New Roman" w:hAnsi="Times New Roman"/>
          <w:sz w:val="24"/>
        </w:rPr>
        <w:t xml:space="preserve">, 28 F.4th 87, 96 (9th Cir. 2022). “[I]n the absence of any proof of access, a copyright plaintiff can still make out a case of infringement by showing that the songs were ‘strikingly similar.’” </w:t>
      </w:r>
      <w:r>
        <w:rPr>
          <w:rFonts w:ascii="Times New Roman" w:hAnsi="Times New Roman"/>
          <w:i/>
          <w:sz w:val="24"/>
        </w:rPr>
        <w:t>Three Boys Music Corp. v. Bolton</w:t>
      </w:r>
      <w:r>
        <w:rPr>
          <w:rFonts w:ascii="Times New Roman" w:hAnsi="Times New Roman"/>
          <w:sz w:val="24"/>
        </w:rPr>
        <w:t xml:space="preserve">, 212 F.3d 477, 485 (9th Cir. 2000) (citing </w:t>
      </w:r>
      <w:r>
        <w:rPr>
          <w:rFonts w:ascii="Times New Roman" w:hAnsi="Times New Roman"/>
          <w:i/>
          <w:sz w:val="24"/>
        </w:rPr>
        <w:t>Smith v. Jackson</w:t>
      </w:r>
      <w:r>
        <w:rPr>
          <w:rFonts w:ascii="Times New Roman" w:hAnsi="Times New Roman"/>
          <w:sz w:val="24"/>
        </w:rPr>
        <w:t xml:space="preserve">, 84 F.3d 1213, 1220 (9th Cir. 1996), and </w:t>
      </w:r>
      <w:r>
        <w:rPr>
          <w:rFonts w:ascii="Times New Roman" w:hAnsi="Times New Roman"/>
          <w:i/>
          <w:sz w:val="24"/>
        </w:rPr>
        <w:t>Baxter v. MCA, Inc.</w:t>
      </w:r>
      <w:r>
        <w:rPr>
          <w:rFonts w:ascii="Times New Roman" w:hAnsi="Times New Roman"/>
          <w:sz w:val="24"/>
        </w:rPr>
        <w:t xml:space="preserve">, 812 F.2d 421, 423, 424 n.2 (9th Cir. 1987)), </w:t>
      </w:r>
      <w:r>
        <w:rPr>
          <w:rFonts w:ascii="Times New Roman" w:hAnsi="Times New Roman"/>
          <w:i/>
          <w:sz w:val="24"/>
        </w:rPr>
        <w:t>overruled on other grounds by Skidmore v. Led Zeppelin</w:t>
      </w:r>
      <w:r>
        <w:rPr>
          <w:rFonts w:ascii="Times New Roman" w:hAnsi="Times New Roman"/>
          <w:sz w:val="24"/>
        </w:rPr>
        <w:t xml:space="preserve">, 952 F.3d 1051, 1064 (9th Cir. 2020) (en banc). “[S]triking similarity shows that the similarities between the two works are due to copying rather than coincidence, independent creation, or prior common source.” </w:t>
      </w:r>
      <w:r>
        <w:rPr>
          <w:rFonts w:ascii="Times New Roman" w:hAnsi="Times New Roman"/>
          <w:i/>
          <w:sz w:val="24"/>
        </w:rPr>
        <w:t>Skidmore</w:t>
      </w:r>
      <w:r>
        <w:rPr>
          <w:rFonts w:ascii="Times New Roman" w:hAnsi="Times New Roman"/>
          <w:sz w:val="24"/>
        </w:rPr>
        <w:t>, 952 F.3d at 1064 (quotation marks, ellipsis, and citation omitted).</w:t>
      </w:r>
    </w:p>
    <w:p>
      <w:pPr>
        <w:spacing w:after="240"/>
        <w:ind w:firstLine="720"/>
      </w:pPr>
      <w:r>
        <w:rPr>
          <w:rFonts w:ascii="Times New Roman" w:hAnsi="Times New Roman"/>
          <w:b/>
          <w:sz w:val="24"/>
        </w:rPr>
        <w:t>Supplemental Instruction</w:t>
      </w:r>
    </w:p>
    <w:p>
      <w:pPr>
        <w:spacing w:after="240"/>
        <w:ind w:firstLine="720"/>
      </w:pPr>
      <w:r>
        <w:rPr>
          <w:rFonts w:ascii="Times New Roman" w:hAnsi="Times New Roman"/>
          <w:sz w:val="24"/>
        </w:rPr>
        <w:t>[</w:t>
      </w:r>
      <w:r>
        <w:rPr>
          <w:rFonts w:ascii="Times New Roman" w:hAnsi="Times New Roman"/>
          <w:i/>
          <w:sz w:val="24"/>
          <w:u w:val="single"/>
        </w:rPr>
        <w:t>If the defendant has submitted evidence that a similarity between the infringed and the allegedly infringing work is not due to the defendant’s copying, replace the instruction with the following.</w:t>
      </w:r>
      <w:r>
        <w:rPr>
          <w:rFonts w:ascii="Times New Roman" w:hAnsi="Times New Roman"/>
          <w:sz w:val="24"/>
        </w:rPr>
        <w:t>]</w:t>
      </w:r>
    </w:p>
    <w:p>
      <w:pPr>
        <w:spacing w:after="240"/>
        <w:ind w:firstLine="720"/>
      </w:pPr>
      <w:r>
        <w:rPr>
          <w:rFonts w:ascii="Times New Roman" w:hAnsi="Times New Roman"/>
          <w:sz w:val="24"/>
        </w:rPr>
        <w:t>The plaintiff [</w:t>
      </w:r>
      <w:r>
        <w:rPr>
          <w:rFonts w:ascii="Times New Roman" w:hAnsi="Times New Roman"/>
          <w:i/>
          <w:sz w:val="24"/>
          <w:u w:val="single"/>
        </w:rPr>
        <w:t>name</w:t>
      </w:r>
      <w:r>
        <w:rPr>
          <w:rFonts w:ascii="Times New Roman" w:hAnsi="Times New Roman"/>
          <w:sz w:val="24"/>
        </w:rPr>
        <w:t>] has the burden of proving that the defendant [</w:t>
      </w:r>
      <w:r>
        <w:rPr>
          <w:rFonts w:ascii="Times New Roman" w:hAnsi="Times New Roman"/>
          <w:i/>
          <w:sz w:val="24"/>
          <w:u w:val="single"/>
        </w:rPr>
        <w:t>name</w:t>
      </w:r>
      <w:r>
        <w:rPr>
          <w:rFonts w:ascii="Times New Roman" w:hAnsi="Times New Roman"/>
          <w:sz w:val="24"/>
        </w:rPr>
        <w:t>] copied original elements from the plaintiff [</w:t>
      </w:r>
      <w:r>
        <w:rPr>
          <w:rFonts w:ascii="Times New Roman" w:hAnsi="Times New Roman"/>
          <w:i/>
          <w:sz w:val="24"/>
          <w:u w:val="single"/>
        </w:rPr>
        <w:t>name</w:t>
      </w:r>
      <w:r>
        <w:rPr>
          <w:rFonts w:ascii="Times New Roman" w:hAnsi="Times New Roman"/>
          <w:sz w:val="24"/>
        </w:rPr>
        <w:t>]’s copyrighted work. If the plaintiff [</w:t>
      </w:r>
      <w:r>
        <w:rPr>
          <w:rFonts w:ascii="Times New Roman" w:hAnsi="Times New Roman"/>
          <w:i/>
          <w:sz w:val="24"/>
          <w:u w:val="single"/>
        </w:rPr>
        <w:t>name</w:t>
      </w:r>
      <w:r>
        <w:rPr>
          <w:rFonts w:ascii="Times New Roman" w:hAnsi="Times New Roman"/>
          <w:sz w:val="24"/>
        </w:rPr>
        <w:t>] [proves by a preponderance of the evidence that the defendant [</w:t>
      </w:r>
      <w:r>
        <w:rPr>
          <w:rFonts w:ascii="Times New Roman" w:hAnsi="Times New Roman"/>
          <w:i/>
          <w:sz w:val="24"/>
          <w:u w:val="single"/>
        </w:rPr>
        <w:t>name</w:t>
      </w:r>
      <w:r>
        <w:rPr>
          <w:rFonts w:ascii="Times New Roman" w:hAnsi="Times New Roman"/>
          <w:sz w:val="24"/>
        </w:rPr>
        <w:t>] had access to the plaintiff [</w:t>
      </w:r>
      <w:r>
        <w:rPr>
          <w:rFonts w:ascii="Times New Roman" w:hAnsi="Times New Roman"/>
          <w:i/>
          <w:sz w:val="24"/>
          <w:u w:val="single"/>
        </w:rPr>
        <w:t>name</w:t>
      </w:r>
      <w:r>
        <w:rPr>
          <w:rFonts w:ascii="Times New Roman" w:hAnsi="Times New Roman"/>
          <w:sz w:val="24"/>
        </w:rPr>
        <w:t>]’s copyrighted work and that there are substantial similarities between the defendant [</w:t>
      </w:r>
      <w:r>
        <w:rPr>
          <w:rFonts w:ascii="Times New Roman" w:hAnsi="Times New Roman"/>
          <w:i/>
          <w:sz w:val="24"/>
          <w:u w:val="single"/>
        </w:rPr>
        <w:t>name</w:t>
      </w:r>
      <w:r>
        <w:rPr>
          <w:rFonts w:ascii="Times New Roman" w:hAnsi="Times New Roman"/>
          <w:sz w:val="24"/>
        </w:rPr>
        <w:t>]’s work and original elements of the plaintiff [</w:t>
      </w:r>
      <w:r>
        <w:rPr>
          <w:rFonts w:ascii="Times New Roman" w:hAnsi="Times New Roman"/>
          <w:i/>
          <w:sz w:val="24"/>
          <w:u w:val="single"/>
        </w:rPr>
        <w:t>name</w:t>
      </w:r>
      <w:r>
        <w:rPr>
          <w:rFonts w:ascii="Times New Roman" w:hAnsi="Times New Roman"/>
          <w:sz w:val="24"/>
        </w:rPr>
        <w:t>]’s work] [proves by a preponderance of the evidence that there is a striking similarity between the defendant [</w:t>
      </w:r>
      <w:r>
        <w:rPr>
          <w:rFonts w:ascii="Times New Roman" w:hAnsi="Times New Roman"/>
          <w:i/>
          <w:sz w:val="24"/>
          <w:u w:val="single"/>
        </w:rPr>
        <w:t>name</w:t>
      </w:r>
      <w:r>
        <w:rPr>
          <w:rFonts w:ascii="Times New Roman" w:hAnsi="Times New Roman"/>
          <w:sz w:val="24"/>
        </w:rPr>
        <w:t>]’s work and the original elements of the plaintiff [</w:t>
      </w:r>
      <w:r>
        <w:rPr>
          <w:rFonts w:ascii="Times New Roman" w:hAnsi="Times New Roman"/>
          <w:i/>
          <w:sz w:val="24"/>
          <w:u w:val="single"/>
        </w:rPr>
        <w:t>name</w:t>
      </w:r>
      <w:r>
        <w:rPr>
          <w:rFonts w:ascii="Times New Roman" w:hAnsi="Times New Roman"/>
          <w:sz w:val="24"/>
        </w:rPr>
        <w:t>]’s copyrighted work] then there is a presumption that the defendant [</w:t>
      </w:r>
      <w:r>
        <w:rPr>
          <w:rFonts w:ascii="Times New Roman" w:hAnsi="Times New Roman"/>
          <w:i/>
          <w:sz w:val="24"/>
          <w:u w:val="single"/>
        </w:rPr>
        <w:t>name</w:t>
      </w:r>
      <w:r>
        <w:rPr>
          <w:rFonts w:ascii="Times New Roman" w:hAnsi="Times New Roman"/>
          <w:sz w:val="24"/>
        </w:rPr>
        <w:t>] copied from the plaintiff [</w:t>
      </w:r>
      <w:r>
        <w:rPr>
          <w:rFonts w:ascii="Times New Roman" w:hAnsi="Times New Roman"/>
          <w:i/>
          <w:sz w:val="24"/>
          <w:u w:val="single"/>
        </w:rPr>
        <w:t>name</w:t>
      </w:r>
      <w:r>
        <w:rPr>
          <w:rFonts w:ascii="Times New Roman" w:hAnsi="Times New Roman"/>
          <w:sz w:val="24"/>
        </w:rPr>
        <w:t>]’s copyrighted work. If the plaintiff [</w:t>
      </w:r>
      <w:r>
        <w:rPr>
          <w:rFonts w:ascii="Times New Roman" w:hAnsi="Times New Roman"/>
          <w:i/>
          <w:sz w:val="24"/>
          <w:u w:val="single"/>
        </w:rPr>
        <w:t>name</w:t>
      </w:r>
      <w:r>
        <w:rPr>
          <w:rFonts w:ascii="Times New Roman" w:hAnsi="Times New Roman"/>
          <w:sz w:val="24"/>
        </w:rPr>
        <w:t>] fails to prove that the defendant [</w:t>
      </w:r>
      <w:r>
        <w:rPr>
          <w:rFonts w:ascii="Times New Roman" w:hAnsi="Times New Roman"/>
          <w:i/>
          <w:sz w:val="24"/>
          <w:u w:val="single"/>
        </w:rPr>
        <w:t>name</w:t>
      </w:r>
      <w:r>
        <w:rPr>
          <w:rFonts w:ascii="Times New Roman" w:hAnsi="Times New Roman"/>
          <w:sz w:val="24"/>
        </w:rPr>
        <w:t>] copied from the plaintiff [</w:t>
      </w:r>
      <w:r>
        <w:rPr>
          <w:rFonts w:ascii="Times New Roman" w:hAnsi="Times New Roman"/>
          <w:i/>
          <w:sz w:val="24"/>
          <w:u w:val="single"/>
        </w:rPr>
        <w:t>name</w:t>
      </w:r>
      <w:r>
        <w:rPr>
          <w:rFonts w:ascii="Times New Roman" w:hAnsi="Times New Roman"/>
          <w:sz w:val="24"/>
        </w:rPr>
        <w:t>]’s work, your verdict should be for the defendant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The defendant [</w:t>
      </w:r>
      <w:r>
        <w:rPr>
          <w:rFonts w:ascii="Times New Roman" w:hAnsi="Times New Roman"/>
          <w:i/>
          <w:sz w:val="24"/>
          <w:u w:val="single"/>
        </w:rPr>
        <w:t>name</w:t>
      </w:r>
      <w:r>
        <w:rPr>
          <w:rFonts w:ascii="Times New Roman" w:hAnsi="Times New Roman"/>
          <w:sz w:val="24"/>
        </w:rPr>
        <w:t>] may rebut the presumption of copying. If you find that the defendant [</w:t>
      </w:r>
      <w:r>
        <w:rPr>
          <w:rFonts w:ascii="Times New Roman" w:hAnsi="Times New Roman"/>
          <w:i/>
          <w:sz w:val="24"/>
          <w:u w:val="single"/>
        </w:rPr>
        <w:t>name</w:t>
      </w:r>
      <w:r>
        <w:rPr>
          <w:rFonts w:ascii="Times New Roman" w:hAnsi="Times New Roman"/>
          <w:sz w:val="24"/>
        </w:rPr>
        <w:t>] has proved by a preponderance of evidence that the similarities between the defendant [</w:t>
      </w:r>
      <w:r>
        <w:rPr>
          <w:rFonts w:ascii="Times New Roman" w:hAnsi="Times New Roman"/>
          <w:i/>
          <w:sz w:val="24"/>
          <w:u w:val="single"/>
        </w:rPr>
        <w:t>name</w:t>
      </w:r>
      <w:r>
        <w:rPr>
          <w:rFonts w:ascii="Times New Roman" w:hAnsi="Times New Roman"/>
          <w:sz w:val="24"/>
        </w:rPr>
        <w:t>]’s work and the copyrighted work are due to [</w:t>
      </w:r>
      <w:r>
        <w:rPr>
          <w:rFonts w:ascii="Times New Roman" w:hAnsi="Times New Roman"/>
          <w:i/>
          <w:sz w:val="24"/>
          <w:u w:val="single"/>
        </w:rPr>
        <w:t>alternative case of similarity</w:t>
      </w:r>
      <w:r>
        <w:rPr>
          <w:rFonts w:ascii="Times New Roman" w:hAnsi="Times New Roman"/>
          <w:sz w:val="24"/>
        </w:rPr>
        <w:t>], your verdict should be for the defendant [</w:t>
      </w:r>
      <w:r>
        <w:rPr>
          <w:rFonts w:ascii="Times New Roman" w:hAnsi="Times New Roman"/>
          <w:i/>
          <w:sz w:val="24"/>
          <w:u w:val="single"/>
        </w:rPr>
        <w:t>name</w:t>
      </w:r>
      <w:r>
        <w:rPr>
          <w:rFonts w:ascii="Times New Roman" w:hAnsi="Times New Roman"/>
          <w:sz w:val="24"/>
        </w:rPr>
        <w:t>].</w:t>
      </w:r>
    </w:p>
    <w:p>
      <w:pPr>
        <w:spacing w:after="240"/>
        <w:ind w:firstLine="720"/>
      </w:pPr>
      <w:r>
        <w:rPr>
          <w:rFonts w:ascii="Times New Roman" w:hAnsi="Times New Roman"/>
          <w:sz w:val="24"/>
        </w:rPr>
        <w:t xml:space="preserve">A presumption of copying arises if the plaintiff proves that the defendant had access to the plaintiff’s work and that there is a substantial similarity between the original elements of the infringed and alleged infringing works, or if there is a striking similarity between the infringed and alleged infringing works that raises the inference of access. </w:t>
      </w:r>
      <w:r>
        <w:rPr>
          <w:rFonts w:ascii="Times New Roman" w:hAnsi="Times New Roman"/>
          <w:i/>
          <w:sz w:val="24"/>
        </w:rPr>
        <w:t>Three Boys</w:t>
      </w:r>
      <w:r>
        <w:rPr>
          <w:rFonts w:ascii="Times New Roman" w:hAnsi="Times New Roman"/>
          <w:sz w:val="24"/>
        </w:rPr>
        <w:t>, 212 F.3d at 486 (“By establishing reasonable access and substantial similarity, a copyright plaintiff creates a presumption of copying.” (citing</w:t>
      </w:r>
      <w:r>
        <w:rPr>
          <w:rFonts w:ascii="Times New Roman" w:hAnsi="Times New Roman"/>
          <w:i/>
          <w:sz w:val="24"/>
        </w:rPr>
        <w:t xml:space="preserve"> Granite Music Corp. v. United Artists Corp.</w:t>
      </w:r>
      <w:r>
        <w:rPr>
          <w:rFonts w:ascii="Times New Roman" w:hAnsi="Times New Roman"/>
          <w:sz w:val="24"/>
        </w:rPr>
        <w:t xml:space="preserve">, 532 F.2d 718, 721 (9th Cir. 1976))). The defendant may rebut the presumption through proof of independent creation. </w:t>
      </w:r>
      <w:r>
        <w:rPr>
          <w:rFonts w:ascii="Times New Roman" w:hAnsi="Times New Roman"/>
          <w:i/>
          <w:sz w:val="24"/>
        </w:rPr>
        <w:t>Id.</w:t>
      </w:r>
      <w:r>
        <w:rPr>
          <w:rFonts w:ascii="Times New Roman" w:hAnsi="Times New Roman"/>
          <w:sz w:val="24"/>
        </w:rPr>
        <w:t xml:space="preserve">; </w:t>
      </w:r>
      <w:r>
        <w:rPr>
          <w:rFonts w:ascii="Times New Roman" w:hAnsi="Times New Roman"/>
          <w:i/>
          <w:sz w:val="24"/>
        </w:rPr>
        <w:t>cf. Herbert Rosenthal Jewelry Corp. v. Kalpakian</w:t>
      </w:r>
      <w:r>
        <w:rPr>
          <w:rFonts w:ascii="Times New Roman" w:hAnsi="Times New Roman"/>
          <w:sz w:val="24"/>
        </w:rPr>
        <w:t xml:space="preserve">, 446 F.2d 738, 741 (9th Cir. 1971) (“It is true that defendants had access to plaintiff’s [copyrighted] pin and that there is an obvious similarity between plaintiff’s pin and those of defendants. These two facts constitute strong circumstantial evidence of copying. But they are not conclusive, and there was substantial evidence to support the trial court’s finding that defendant’s pin was in fact an independent creation.”) (citations omitted); </w:t>
      </w:r>
      <w:r>
        <w:rPr>
          <w:rFonts w:ascii="Times New Roman" w:hAnsi="Times New Roman"/>
          <w:i/>
          <w:sz w:val="24"/>
        </w:rPr>
        <w:t>Skidmore</w:t>
      </w:r>
      <w:r>
        <w:rPr>
          <w:rFonts w:ascii="Times New Roman" w:hAnsi="Times New Roman"/>
          <w:sz w:val="24"/>
        </w:rPr>
        <w:t>, 952 F.3d at 1064 (holding that “probative or striking similarity shows that the similarities between the two works are due to copying</w:t>
      </w:r>
    </w:p>
    <w:p>
      <w:pPr>
        <w:spacing w:after="240"/>
        <w:ind w:firstLine="720"/>
      </w:pPr>
      <w:r>
        <w:rPr>
          <w:rFonts w:ascii="Times New Roman" w:hAnsi="Times New Roman"/>
          <w:sz w:val="24"/>
        </w:rPr>
        <w:t>rather than coincidence, independent creation, or prior common source”) (quotation marks, ellipsis, and citation omitted).</w:t>
      </w:r>
    </w:p>
    <w:p>
      <w:pPr>
        <w:spacing w:after="240"/>
        <w:ind w:firstLine="720"/>
      </w:pPr>
      <w:r>
        <w:rPr>
          <w:rFonts w:ascii="Times New Roman" w:hAnsi="Times New Roman"/>
          <w:i/>
          <w:sz w:val="24"/>
        </w:rPr>
        <w:t>Revised September 2025</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