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18.9 Securities—Damages</w:t>
      </w:r>
    </w:p>
    <w:p>
      <w:pPr>
        <w:spacing w:after="240"/>
        <w:ind w:firstLine="720"/>
      </w:pPr>
      <w:r>
        <w:rPr>
          <w:rFonts w:ascii="Times New Roman" w:hAnsi="Times New Roman"/>
          <w:sz w:val="24"/>
        </w:rPr>
        <w:t>If you find for the plaintiff [</w:t>
      </w:r>
      <w:r>
        <w:rPr>
          <w:rFonts w:ascii="Times New Roman" w:hAnsi="Times New Roman"/>
          <w:i/>
          <w:sz w:val="24"/>
          <w:u w:val="single"/>
        </w:rPr>
        <w:t>name</w:t>
      </w:r>
      <w:r>
        <w:rPr>
          <w:rFonts w:ascii="Times New Roman" w:hAnsi="Times New Roman"/>
          <w:sz w:val="24"/>
        </w:rPr>
        <w:t>] on the 10b-5 claim, then you must consider and decide the amount of money damages, if any, to be awarded to the plaintiff [</w:t>
      </w:r>
      <w:r>
        <w:rPr>
          <w:rFonts w:ascii="Times New Roman" w:hAnsi="Times New Roman"/>
          <w:i/>
          <w:sz w:val="24"/>
          <w:u w:val="single"/>
        </w:rPr>
        <w:t>name</w:t>
      </w:r>
      <w:r>
        <w:rPr>
          <w:rFonts w:ascii="Times New Roman" w:hAnsi="Times New Roman"/>
          <w:sz w:val="24"/>
        </w:rPr>
        <w:t>]. You may award only actual damages in an amount that will reasonably and fairly compensate the plaintiff [</w:t>
      </w:r>
      <w:r>
        <w:rPr>
          <w:rFonts w:ascii="Times New Roman" w:hAnsi="Times New Roman"/>
          <w:i/>
          <w:sz w:val="24"/>
          <w:u w:val="single"/>
        </w:rPr>
        <w:t>name</w:t>
      </w:r>
      <w:r>
        <w:rPr>
          <w:rFonts w:ascii="Times New Roman" w:hAnsi="Times New Roman"/>
          <w:sz w:val="24"/>
        </w:rPr>
        <w:t>] for the economic loss [he] [she] [</w:t>
      </w:r>
      <w:r>
        <w:rPr>
          <w:rFonts w:ascii="Times New Roman" w:hAnsi="Times New Roman"/>
          <w:i/>
          <w:sz w:val="24"/>
          <w:u w:val="single"/>
        </w:rPr>
        <w:t>other pronoun</w:t>
      </w:r>
      <w:r>
        <w:rPr>
          <w:rFonts w:ascii="Times New Roman" w:hAnsi="Times New Roman"/>
          <w:sz w:val="24"/>
        </w:rPr>
        <w:t>] sustained. Your award must be based on evidence and not upon speculation, guesswork, or conjecture. The plaintiff [</w:t>
      </w:r>
      <w:r>
        <w:rPr>
          <w:rFonts w:ascii="Times New Roman" w:hAnsi="Times New Roman"/>
          <w:i/>
          <w:sz w:val="24"/>
          <w:u w:val="single"/>
        </w:rPr>
        <w:t>name</w:t>
      </w:r>
      <w:r>
        <w:rPr>
          <w:rFonts w:ascii="Times New Roman" w:hAnsi="Times New Roman"/>
          <w:sz w:val="24"/>
        </w:rPr>
        <w:t>] has the burden of proving damages by a preponderance of the evidence.</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Section 10(b) claims for damages are governed by Section 28(a) of the 1934 Act, which limits all claims brought under the 1934 Act to actual damages. </w:t>
      </w:r>
      <w:r>
        <w:rPr>
          <w:rFonts w:ascii="Times New Roman" w:hAnsi="Times New Roman"/>
          <w:i/>
          <w:sz w:val="24"/>
        </w:rPr>
        <w:t xml:space="preserve">See </w:t>
      </w:r>
      <w:r>
        <w:rPr>
          <w:rFonts w:ascii="Times New Roman" w:hAnsi="Times New Roman"/>
          <w:sz w:val="24"/>
        </w:rPr>
        <w:t xml:space="preserve">15 U.S.C. § 78bb(a) (providing that no person maintaining a suit for damages under the 1934 Act may recover “a total amount in excess of [his] actual damages”); </w:t>
      </w:r>
      <w:r>
        <w:rPr>
          <w:rFonts w:ascii="Times New Roman" w:hAnsi="Times New Roman"/>
          <w:i/>
          <w:sz w:val="24"/>
        </w:rPr>
        <w:t>Randall v. Loftsgaarden</w:t>
      </w:r>
      <w:r>
        <w:rPr>
          <w:rFonts w:ascii="Times New Roman" w:hAnsi="Times New Roman"/>
          <w:sz w:val="24"/>
        </w:rPr>
        <w:t>, 478 U.S. 647, 661-62 (1986).</w:t>
      </w:r>
    </w:p>
    <w:p>
      <w:pPr>
        <w:spacing w:after="240"/>
        <w:ind w:firstLine="720"/>
      </w:pPr>
      <w:r>
        <w:rPr>
          <w:rFonts w:ascii="Times New Roman" w:hAnsi="Times New Roman"/>
          <w:sz w:val="24"/>
        </w:rPr>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Pr>
          <w:rFonts w:ascii="Times New Roman" w:hAnsi="Times New Roman"/>
          <w:i/>
          <w:sz w:val="24"/>
        </w:rPr>
        <w:t>Ambassador Hotel Co., Ltd. v. Wei-Chuan Inv.</w:t>
      </w:r>
      <w:r>
        <w:rPr>
          <w:rFonts w:ascii="Times New Roman" w:hAnsi="Times New Roman"/>
          <w:sz w:val="24"/>
        </w:rPr>
        <w:t xml:space="preserve">, 189 F.3d 1017, 1030 (9th Cir. 1999) (citing </w:t>
      </w:r>
      <w:r>
        <w:rPr>
          <w:rFonts w:ascii="Times New Roman" w:hAnsi="Times New Roman"/>
          <w:i/>
          <w:sz w:val="24"/>
        </w:rPr>
        <w:t>DCD Programs v. Leighton</w:t>
      </w:r>
      <w:r>
        <w:rPr>
          <w:rFonts w:ascii="Times New Roman" w:hAnsi="Times New Roman"/>
          <w:sz w:val="24"/>
        </w:rPr>
        <w:t>, 90 F.3d 1442, 1449 (9th Cir. 1996)). The Supreme Court’s decision in</w:t>
      </w:r>
      <w:r>
        <w:rPr>
          <w:rFonts w:ascii="Times New Roman" w:hAnsi="Times New Roman"/>
          <w:i/>
          <w:sz w:val="24"/>
        </w:rPr>
        <w:t xml:space="preserve"> Dura Pharmaceuticals, Inc. v. Broudo, </w:t>
      </w:r>
      <w:r>
        <w:rPr>
          <w:rFonts w:ascii="Times New Roman" w:hAnsi="Times New Roman"/>
          <w:sz w:val="24"/>
        </w:rPr>
        <w:t xml:space="preserve">544 U.S. 336 (2005), highlights the difficulty in framing an instruction premised on a theory that the price on the date of purchase was inflated because of a misrepresentation. </w:t>
      </w:r>
      <w:r>
        <w:rPr>
          <w:rFonts w:ascii="Times New Roman" w:hAnsi="Times New Roman"/>
          <w:i/>
          <w:sz w:val="24"/>
        </w:rPr>
        <w:t>See</w:t>
      </w:r>
      <w:r>
        <w:rPr>
          <w:rFonts w:ascii="Times New Roman" w:hAnsi="Times New Roman"/>
          <w:sz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pPr>
        <w:spacing w:after="240"/>
        <w:ind w:firstLine="720"/>
      </w:pPr>
      <w:r>
        <w:rPr>
          <w:rFonts w:ascii="Times New Roman" w:hAnsi="Times New Roman"/>
          <w:sz w:val="24"/>
        </w:rPr>
        <w:t xml:space="preserve">Because of the above-described complications, expert testimony is often used when calculating damages in 10b-5 actions. </w:t>
      </w:r>
      <w:r>
        <w:rPr>
          <w:rFonts w:ascii="Times New Roman" w:hAnsi="Times New Roman"/>
          <w:i/>
          <w:sz w:val="24"/>
        </w:rPr>
        <w:t>See In re Imperial Credit Indus., Inc. Sec. Litig.</w:t>
      </w:r>
      <w:r>
        <w:rPr>
          <w:rFonts w:ascii="Times New Roman" w:hAnsi="Times New Roman"/>
          <w:sz w:val="24"/>
        </w:rPr>
        <w:t xml:space="preserve">, 252 F. Supp. 2d 1005, 1014-15 (C.D. Cal. 2003); </w:t>
      </w:r>
      <w:r>
        <w:rPr>
          <w:rFonts w:ascii="Times New Roman" w:hAnsi="Times New Roman"/>
          <w:i/>
          <w:sz w:val="24"/>
        </w:rPr>
        <w:t xml:space="preserve">In re Oracle Sec. Litig., </w:t>
      </w:r>
      <w:r>
        <w:rPr>
          <w:rFonts w:ascii="Times New Roman" w:hAnsi="Times New Roman"/>
          <w:sz w:val="24"/>
        </w:rPr>
        <w:t>829 F. Supp. 1176, 1181 (N.D. Cal. 1993).</w:t>
      </w:r>
    </w:p>
    <w:p>
      <w:pPr>
        <w:spacing w:after="240"/>
        <w:ind w:firstLine="720"/>
      </w:pPr>
      <w:r>
        <w:rPr>
          <w:rFonts w:ascii="Times New Roman" w:hAnsi="Times New Roman"/>
          <w:i/>
          <w:sz w:val="24"/>
        </w:rPr>
        <w:t>Revised September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