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2.16 Charts and Summaries Received in Evidence</w:t>
      </w:r>
    </w:p>
    <w:p>
      <w:pPr>
        <w:spacing w:after="240"/>
        <w:ind w:firstLine="720"/>
      </w:pPr>
      <w:r>
        <w:rPr>
          <w:rFonts w:ascii="Times New Roman" w:hAnsi="Times New Roman"/>
          <w:sz w:val="24"/>
        </w:rPr>
        <w:t>Certain charts and summaries [may be] [have been] admitted into evidence to illustrate information brought out in the trial. Charts and summaries are only as good as the testimony or other admitted evidence that supports them. You should, therefore, give them only such weight as you think the underlying evidence deserves.</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This instruction applies when the charts and summaries are received into evidence. </w:t>
      </w:r>
      <w:r>
        <w:rPr>
          <w:rFonts w:ascii="Times New Roman" w:hAnsi="Times New Roman"/>
          <w:i/>
          <w:sz w:val="24"/>
        </w:rPr>
        <w:t>See United States v. Anekwu</w:t>
      </w:r>
      <w:r>
        <w:rPr>
          <w:rFonts w:ascii="Times New Roman" w:hAnsi="Times New Roman"/>
          <w:sz w:val="24"/>
        </w:rPr>
        <w:t xml:space="preserve">, 695 F.3d 967, 981 (9th Cir. 2012) (“[T]he proponent of a summary must demonstrate the admissibility of the underlying writings or records summarized, as a condition precedent to introduction of the summary into evidence under [Fed. R. Evid. Evid.] 1006.”) (quoting </w:t>
      </w:r>
      <w:r>
        <w:rPr>
          <w:rFonts w:ascii="Times New Roman" w:hAnsi="Times New Roman"/>
          <w:i/>
          <w:sz w:val="24"/>
        </w:rPr>
        <w:t>United States v. Johnson</w:t>
      </w:r>
      <w:r>
        <w:rPr>
          <w:rFonts w:ascii="Times New Roman" w:hAnsi="Times New Roman"/>
          <w:sz w:val="24"/>
        </w:rPr>
        <w:t xml:space="preserve">, 594 F.2d 1253, 1257 (9th Cir. 1979)); </w:t>
      </w:r>
      <w:r>
        <w:rPr>
          <w:rFonts w:ascii="Times New Roman" w:hAnsi="Times New Roman"/>
          <w:i/>
          <w:sz w:val="24"/>
        </w:rPr>
        <w:t>United States v. Rizk</w:t>
      </w:r>
      <w:r>
        <w:rPr>
          <w:rFonts w:ascii="Times New Roman" w:hAnsi="Times New Roman"/>
          <w:sz w:val="24"/>
        </w:rPr>
        <w:t xml:space="preserve">, 660 F.3d 1125, 1130-31 (9th Cir. 2011);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also</w:t>
      </w:r>
      <w:r>
        <w:rPr>
          <w:rFonts w:ascii="Times New Roman" w:hAnsi="Times New Roman"/>
          <w:sz w:val="24"/>
        </w:rPr>
        <w:t xml:space="preserve"> </w:t>
      </w:r>
      <w:r>
        <w:rPr>
          <w:rFonts w:ascii="Times New Roman" w:hAnsi="Times New Roman"/>
          <w:smallCaps/>
          <w:sz w:val="24"/>
        </w:rPr>
        <w:t>Ninth Circuit Judges’ Trial Manual</w:t>
      </w:r>
      <w:r>
        <w:rPr>
          <w:rFonts w:ascii="Times New Roman" w:hAnsi="Times New Roman"/>
          <w:sz w:val="24"/>
        </w:rPr>
        <w:t xml:space="preserve"> § 3.20.2: </w:t>
      </w:r>
      <w:r>
        <w:rPr>
          <w:rFonts w:ascii="Times New Roman" w:hAnsi="Times New Roman"/>
          <w:smallCaps/>
          <w:sz w:val="24"/>
        </w:rPr>
        <w:t>Summary Exhibits</w:t>
      </w:r>
      <w:r>
        <w:rPr>
          <w:rFonts w:ascii="Times New Roman" w:hAnsi="Times New Roman"/>
          <w:sz w:val="24"/>
        </w:rPr>
        <w:t xml:space="preserve"> (2025). This instruction may be unnecessary if there is no dispute as to the accuracy of the chart or summary.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