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2.17 Evidence in Electronic Format</w:t>
      </w:r>
    </w:p>
    <w:p>
      <w:pPr>
        <w:spacing w:after="240"/>
        <w:ind w:firstLine="720"/>
      </w:pPr>
      <w:r>
        <w:rPr>
          <w:rFonts w:ascii="Times New Roman" w:hAnsi="Times New Roman"/>
          <w:sz w:val="24"/>
        </w:rPr>
        <w:t>Those exhibits received in evidence that are capable of being displayed electronically will be provided to you in that form, and you will be able to view them in the jury room. A computer, projector, printer, and accessory equipment will be available to you in the jury room.</w:t>
      </w:r>
    </w:p>
    <w:p>
      <w:pPr>
        <w:spacing w:after="240"/>
        <w:ind w:firstLine="720"/>
      </w:pPr>
      <w:r>
        <w:rPr>
          <w:rFonts w:ascii="Times New Roman" w:hAnsi="Times New Roman"/>
          <w:sz w:val="24"/>
        </w:rPr>
        <w:t>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w:t>
      </w:r>
    </w:p>
    <w:p>
      <w:pPr>
        <w:spacing w:after="240"/>
        <w:ind w:firstLine="720"/>
      </w:pPr>
      <w:r>
        <w:rPr>
          <w:rFonts w:ascii="Times New Roman" w:hAnsi="Times New Roman"/>
          <w:sz w:val="24"/>
        </w:rPr>
        <w:t>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nonjuror is in the jury room, the jury shall not deliberate. No juror may say anything to the court technician or any nonjuror other than to describe the technical problem or to seek information about operation of the equipment. Do not discuss any exhibit or any aspect of the case.</w:t>
      </w:r>
    </w:p>
    <w:p>
      <w:pPr>
        <w:spacing w:after="240"/>
        <w:ind w:firstLine="720"/>
      </w:pPr>
      <w:r>
        <w:rPr>
          <w:rFonts w:ascii="Times New Roman" w:hAnsi="Times New Roman"/>
          <w:sz w:val="24"/>
        </w:rPr>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pPr>
        <w:jc w:val="center"/>
      </w:pPr>
      <w:r>
        <w:rPr>
          <w:rFonts w:ascii="Times New Roman" w:hAnsi="Times New Roman"/>
          <w:b/>
          <w:sz w:val="24"/>
        </w:rPr>
        <w:t>Comment</w:t>
      </w:r>
    </w:p>
    <w:p>
      <w:pPr>
        <w:spacing w:after="240"/>
        <w:ind w:firstLine="720"/>
      </w:pPr>
      <w:r>
        <w:rPr>
          <w:rFonts w:ascii="Times New Roman" w:hAnsi="Times New Roman"/>
          <w:sz w:val="24"/>
        </w:rPr>
        <w:t>This instruction is premised on the assumption that either the court has ordered these procedures,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w:t>
      </w:r>
    </w:p>
    <w:p>
      <w:pPr>
        <w:spacing w:after="240"/>
        <w:ind w:firstLine="720"/>
      </w:pPr>
      <w:r>
        <w:rPr>
          <w:rFonts w:ascii="Times New Roman" w:hAnsi="Times New Roman"/>
          <w:sz w:val="24"/>
        </w:rPr>
        <w:t>&gt; 1.</w:t>
        <w:tab/>
        <w:t>The parties agree to an allocation of the costs of providing the necessary equipment, including the computer, hard drive, projector, cable, printer, monitor, and other accessories.</w:t>
      </w:r>
    </w:p>
    <w:p>
      <w:pPr>
        <w:spacing w:after="240"/>
        <w:ind w:firstLine="720"/>
      </w:pPr>
      <w:r>
        <w:rPr>
          <w:rFonts w:ascii="Times New Roman" w:hAnsi="Times New Roman"/>
          <w:sz w:val="24"/>
        </w:rPr>
        <w:t>&gt; 2.</w:t>
        <w:tab/>
        <w:t>The parties jointly arrange to load images of the admitted exhibits onto a hard drive in “PDF” format. (This format is meant to assure maximum security.) They will ensure that the hard drive contains only such items and nothing else.</w:t>
      </w:r>
    </w:p>
    <w:p>
      <w:pPr>
        <w:spacing w:after="240"/>
        <w:ind w:firstLine="720"/>
      </w:pPr>
      <w:r>
        <w:rPr>
          <w:rFonts w:ascii="Times New Roman" w:hAnsi="Times New Roman"/>
          <w:sz w:val="24"/>
        </w:rPr>
        <w:t>&gt; 3.</w:t>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 That second list would be made available to the jury in “hard copy,” not electronic form.)</w:t>
      </w:r>
    </w:p>
    <w:p>
      <w:pPr>
        <w:spacing w:after="240"/>
        <w:ind w:firstLine="720"/>
      </w:pPr>
      <w:r>
        <w:rPr>
          <w:rFonts w:ascii="Times New Roman" w:hAnsi="Times New Roman"/>
          <w:sz w:val="24"/>
        </w:rPr>
        <w:t>&gt; 4.</w:t>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pPr>
        <w:spacing w:after="240"/>
        <w:ind w:firstLine="720"/>
      </w:pPr>
      <w:r>
        <w:rPr>
          <w:rFonts w:ascii="Times New Roman" w:hAnsi="Times New Roman"/>
          <w:sz w:val="24"/>
        </w:rPr>
        <w:t>&gt; 5.</w:t>
        <w:tab/>
        <w:t>The parties will maintain at the courthouse a backup notebook computer and a backup hard drive with images and data identical to what was loaded onto the hard drive sent into the jury room.</w:t>
      </w:r>
    </w:p>
    <w:p>
      <w:pPr>
        <w:spacing w:after="240"/>
        <w:ind w:firstLine="720"/>
      </w:pPr>
      <w:r>
        <w:rPr>
          <w:rFonts w:ascii="Times New Roman" w:hAnsi="Times New Roman"/>
          <w:sz w:val="24"/>
        </w:rPr>
        <w:t>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w:t>
      </w:r>
      <w:r>
        <w:rPr>
          <w:rFonts w:ascii="Times New Roman" w:hAnsi="Times New Roman"/>
          <w:i/>
          <w:sz w:val="24"/>
        </w:rPr>
        <w:t>E.g</w:t>
      </w:r>
      <w:r>
        <w:rPr>
          <w:rFonts w:ascii="Times New Roman" w:hAnsi="Times New Roman"/>
          <w:sz w:val="24"/>
        </w:rPr>
        <w:t xml:space="preserve">., such matters could have been placed on a blackboard or in summaries strewn about the jury table.) The Committee suggests that in the event a nonjuror might be required to enter the jury room to deal with a technical problem, the judge should </w:t>
      </w:r>
      <w:r>
        <w:rPr>
          <w:rFonts w:ascii="Times New Roman" w:hAnsi="Times New Roman"/>
          <w:i/>
          <w:sz w:val="24"/>
        </w:rPr>
        <w:t>sua sponte</w:t>
      </w:r>
      <w:r>
        <w:rPr>
          <w:rFonts w:ascii="Times New Roman" w:hAnsi="Times New Roman"/>
          <w:sz w:val="24"/>
        </w:rPr>
        <w:t xml:space="preserve"> raise these and related issues with counsel before authorizing such entry. Among the factors that the judge and counsel should discuss are the following:</w:t>
      </w:r>
    </w:p>
    <w:p>
      <w:pPr>
        <w:spacing w:after="240"/>
        <w:ind w:firstLine="720"/>
      </w:pPr>
      <w:r>
        <w:rPr>
          <w:rFonts w:ascii="Times New Roman" w:hAnsi="Times New Roman"/>
          <w:sz w:val="24"/>
        </w:rPr>
        <w:t>&gt; (a)</w:t>
        <w:tab/>
        <w:t xml:space="preserve">Can the technical problem be addressed without entry into the room; </w:t>
      </w:r>
      <w:r>
        <w:rPr>
          <w:rFonts w:ascii="Times New Roman" w:hAnsi="Times New Roman"/>
          <w:i/>
          <w:sz w:val="24"/>
        </w:rPr>
        <w:t>e.g</w:t>
      </w:r>
      <w:r>
        <w:rPr>
          <w:rFonts w:ascii="Times New Roman" w:hAnsi="Times New Roman"/>
          <w:sz w:val="24"/>
        </w:rPr>
        <w:t>., by removing the equipment for examination outside the presence of jurors?</w:t>
      </w:r>
    </w:p>
    <w:p>
      <w:pPr>
        <w:spacing w:after="240"/>
        <w:ind w:firstLine="720"/>
      </w:pPr>
      <w:r>
        <w:rPr>
          <w:rFonts w:ascii="Times New Roman" w:hAnsi="Times New Roman"/>
          <w:sz w:val="24"/>
        </w:rPr>
        <w:t>&gt; (b)</w:t>
        <w:tab/>
        <w:t>Can the technical problem be addressed without any information from the jury other than an innocuous statement to the effect that (for example) “the printer isn’t working”?</w:t>
      </w:r>
    </w:p>
    <w:p>
      <w:pPr>
        <w:spacing w:after="240"/>
        <w:ind w:firstLine="720"/>
      </w:pPr>
      <w:r>
        <w:rPr>
          <w:rFonts w:ascii="Times New Roman" w:hAnsi="Times New Roman"/>
          <w:sz w:val="24"/>
        </w:rPr>
        <w:t>&gt; (c)</w:t>
        <w:tab/>
        <w:t>Can the risk of even inadvertent disclosure of the jury’s deliberations be eliminated by instructing the jury to cover any charts and to remove or conceal any papers, etc.?</w:t>
      </w:r>
    </w:p>
    <w:p>
      <w:pPr>
        <w:spacing w:after="240"/>
        <w:ind w:firstLine="720"/>
      </w:pPr>
      <w:r>
        <w:rPr>
          <w:rFonts w:ascii="Times New Roman" w:hAnsi="Times New Roman"/>
          <w:sz w:val="24"/>
        </w:rPr>
        <w:t>&gt; (d)</w:t>
        <w:tab/>
        <w:t>Should the technician, bailiff, or clerk be sworn in, with an oath that requires him or her not to disclose whatever he or she sees or hears in the jury room, except for the nature of the technical problem and whether the problem has been fixed?</w:t>
      </w:r>
    </w:p>
    <w:p>
      <w:pPr>
        <w:spacing w:after="240"/>
        <w:ind w:firstLine="720"/>
      </w:pPr>
      <w:r>
        <w:rPr>
          <w:rFonts w:ascii="Times New Roman" w:hAnsi="Times New Roman"/>
          <w:sz w:val="24"/>
        </w:rPr>
        <w:t>Whether or not these or other appropriate precautions to minimize or eliminate the risk of disclosure are taken, the judge may consider giving the jury this instruction:</w:t>
      </w:r>
    </w:p>
    <w:p>
      <w:pPr>
        <w:spacing w:after="240"/>
        <w:ind w:firstLine="720"/>
      </w:pPr>
      <w:r>
        <w:rPr>
          <w:rFonts w:ascii="Times New Roman" w:hAnsi="Times New Roman"/>
          <w:sz w:val="24"/>
        </w:rPr>
        <w:t>You have informed me that there is a technical problem that has interfered with your ability to review evidence electronically. I will send a technician into the jury room to deal with the problem while you are out of the deliberation room on a break. Please do not allow any materials reflecting any aspect of your deliberations to be visible during the technician’s presence.</w:t>
      </w:r>
    </w:p>
    <w:p>
      <w:pPr>
        <w:spacing w:after="240"/>
        <w:ind w:firstLine="720"/>
      </w:pPr>
      <w:r>
        <w:rPr>
          <w:rFonts w:ascii="Times New Roman" w:hAnsi="Times New Roman"/>
          <w:sz w:val="24"/>
        </w:rPr>
        <w:t xml:space="preserve">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 </w:t>
      </w:r>
      <w:r>
        <w:rPr>
          <w:rFonts w:ascii="Times New Roman" w:hAnsi="Times New Roman"/>
          <w:i/>
          <w:sz w:val="24"/>
        </w:rPr>
        <w:t>United States v. Felix-Rodriguez</w:t>
      </w:r>
      <w:r>
        <w:rPr>
          <w:rFonts w:ascii="Times New Roman" w:hAnsi="Times New Roman"/>
          <w:sz w:val="24"/>
        </w:rPr>
        <w:t>, 22 F.3d 964, 966-67 (9th Cir. 1994)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