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4.13 Adverse Interest Exception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If you find that [</w:t>
      </w:r>
      <w:r>
        <w:rPr>
          <w:rFonts w:ascii="Times New Roman" w:hAnsi="Times New Roman"/>
          <w:i/>
          <w:sz w:val="24"/>
          <w:u w:val="single"/>
        </w:rPr>
        <w:t>name of alleged agent</w:t>
      </w:r>
      <w:r>
        <w:rPr>
          <w:rFonts w:ascii="Times New Roman" w:hAnsi="Times New Roman"/>
          <w:sz w:val="24"/>
        </w:rPr>
        <w:t>] was acting solely for [his] [her] [</w:t>
      </w:r>
      <w:r>
        <w:rPr>
          <w:rFonts w:ascii="Times New Roman" w:hAnsi="Times New Roman"/>
          <w:i/>
          <w:sz w:val="24"/>
          <w:u w:val="single"/>
        </w:rPr>
        <w:t>other pronoun</w:t>
      </w:r>
      <w:r>
        <w:rPr>
          <w:rFonts w:ascii="Times New Roman" w:hAnsi="Times New Roman"/>
          <w:sz w:val="24"/>
        </w:rPr>
        <w:t>] own purposes or those of a third party, then [</w:t>
      </w:r>
      <w:r>
        <w:rPr>
          <w:rFonts w:ascii="Times New Roman" w:hAnsi="Times New Roman"/>
          <w:i/>
          <w:sz w:val="24"/>
          <w:u w:val="single"/>
        </w:rPr>
        <w:t>name of the alleged agent</w:t>
      </w:r>
      <w:r>
        <w:rPr>
          <w:rFonts w:ascii="Times New Roman" w:hAnsi="Times New Roman"/>
          <w:sz w:val="24"/>
        </w:rPr>
        <w:t>]’s acts or omissions are not considered the acts or omissions of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[However, if you find that plaintiff dealt with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in good faith and did not know, or have reason to know, that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was acting against the interests of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], then you may find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 liable if you find that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acted within [his] [her] [</w:t>
      </w:r>
      <w:r>
        <w:rPr>
          <w:rFonts w:ascii="Times New Roman" w:hAnsi="Times New Roman"/>
          <w:i/>
          <w:sz w:val="24"/>
          <w:u w:val="single"/>
        </w:rPr>
        <w:t>other pronoun</w:t>
      </w:r>
      <w:r>
        <w:rPr>
          <w:rFonts w:ascii="Times New Roman" w:hAnsi="Times New Roman"/>
          <w:sz w:val="24"/>
        </w:rPr>
        <w:t>] authority.]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[However, if you find that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 ratified or knowingly received a benefit from the acts or omissions of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], then you may find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 liable if you find that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acted within [his] [her] [</w:t>
      </w:r>
      <w:r>
        <w:rPr>
          <w:rFonts w:ascii="Times New Roman" w:hAnsi="Times New Roman"/>
          <w:i/>
          <w:sz w:val="24"/>
          <w:u w:val="single"/>
        </w:rPr>
        <w:t>other pronoun</w:t>
      </w:r>
      <w:r>
        <w:rPr>
          <w:rFonts w:ascii="Times New Roman" w:hAnsi="Times New Roman"/>
          <w:sz w:val="24"/>
        </w:rPr>
        <w:t>] authority.]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[However, if you find that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was the sole [representative of] [officer in charge of]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], then you may find defendant [</w:t>
      </w:r>
      <w:r>
        <w:rPr>
          <w:rFonts w:ascii="Times New Roman" w:hAnsi="Times New Roman"/>
          <w:i/>
          <w:sz w:val="24"/>
          <w:u w:val="single"/>
        </w:rPr>
        <w:t>name of alleged principal</w:t>
      </w:r>
      <w:r>
        <w:rPr>
          <w:rFonts w:ascii="Times New Roman" w:hAnsi="Times New Roman"/>
          <w:sz w:val="24"/>
        </w:rPr>
        <w:t>] liable if you find that [</w:t>
      </w:r>
      <w:r>
        <w:rPr>
          <w:rFonts w:ascii="Times New Roman" w:hAnsi="Times New Roman"/>
          <w:i/>
          <w:sz w:val="24"/>
          <w:u w:val="single"/>
        </w:rPr>
        <w:t>name of agent</w:t>
      </w:r>
      <w:r>
        <w:rPr>
          <w:rFonts w:ascii="Times New Roman" w:hAnsi="Times New Roman"/>
          <w:sz w:val="24"/>
        </w:rPr>
        <w:t>] acted within [his] [her] [</w:t>
      </w:r>
      <w:r>
        <w:rPr>
          <w:rFonts w:ascii="Times New Roman" w:hAnsi="Times New Roman"/>
          <w:i/>
          <w:sz w:val="24"/>
          <w:u w:val="single"/>
        </w:rPr>
        <w:t>other pronoun</w:t>
      </w:r>
      <w:r>
        <w:rPr>
          <w:rFonts w:ascii="Times New Roman" w:hAnsi="Times New Roman"/>
          <w:sz w:val="24"/>
        </w:rPr>
        <w:t>] authority.]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adverse interest exception is narrow and generally requires “an agent to completely abandon the principal’s interests and act entirely for his own purposes.” </w:t>
      </w:r>
      <w:r>
        <w:rPr>
          <w:rFonts w:ascii="Times New Roman" w:hAnsi="Times New Roman"/>
          <w:i/>
          <w:sz w:val="24"/>
        </w:rPr>
        <w:t>Cement &amp; Concrete Workers Dist. Council Pension Fund v. Hewlett Packard Co.</w:t>
      </w:r>
      <w:r>
        <w:rPr>
          <w:rFonts w:ascii="Times New Roman" w:hAnsi="Times New Roman"/>
          <w:sz w:val="24"/>
        </w:rPr>
        <w:t xml:space="preserve">, 964 F. Supp. 2d 1128, 1144-45 (N.D. Cal. 2013) (quoting </w:t>
      </w:r>
      <w:r>
        <w:rPr>
          <w:rFonts w:ascii="Times New Roman" w:hAnsi="Times New Roman"/>
          <w:i/>
          <w:sz w:val="24"/>
        </w:rPr>
        <w:t>USACM Liquidating Trust v. Deloitte &amp; Touche LLP</w:t>
      </w:r>
      <w:r>
        <w:rPr>
          <w:rFonts w:ascii="Times New Roman" w:hAnsi="Times New Roman"/>
          <w:sz w:val="24"/>
        </w:rPr>
        <w:t>, 764 F. Supp. 2d 1210, 1218 (D. Nev. 2011)).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