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4.14 Independent Contractor—Definition</w:t>
      </w:r>
    </w:p>
    <w:p>
      <w:pPr>
        <w:spacing w:after="240"/>
        <w:ind w:firstLine="720"/>
      </w:pPr>
      <w:r>
        <w:rPr>
          <w:rFonts w:ascii="Times New Roman" w:hAnsi="Times New Roman"/>
          <w:sz w:val="24"/>
        </w:rPr>
        <w:t>An independent contractor is a person who performs services for another person under an express or implied agreement and who is not subject to the other’s control of, or right to control, the manner and means of performing the services.</w:t>
      </w:r>
    </w:p>
    <w:p>
      <w:pPr>
        <w:spacing w:after="240"/>
        <w:ind w:firstLine="720"/>
      </w:pPr>
      <w:r>
        <w:rPr>
          <w:rFonts w:ascii="Times New Roman" w:hAnsi="Times New Roman"/>
          <w:sz w:val="24"/>
        </w:rPr>
        <w:t>One who engages an independent contractor is not liable to others for the acts or omissions of the independent contractor.</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second paragraph of this instruction does not apply to nondelegable duties.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M.J. ex rel. Beebe v. United States</w:t>
      </w:r>
      <w:r>
        <w:rPr>
          <w:rFonts w:ascii="Times New Roman" w:hAnsi="Times New Roman"/>
          <w:sz w:val="24"/>
        </w:rPr>
        <w:t xml:space="preserve">, 721 F.3d 1079, 1085 (9th Cir. 2013) (discussing nondelegable duties under Alaska law); </w:t>
      </w:r>
      <w:r>
        <w:rPr>
          <w:rFonts w:ascii="Times New Roman" w:hAnsi="Times New Roman"/>
          <w:i/>
          <w:sz w:val="24"/>
        </w:rPr>
        <w:t>Cmty. for Creative Non-Violence v. Reid</w:t>
      </w:r>
      <w:r>
        <w:rPr>
          <w:rFonts w:ascii="Times New Roman" w:hAnsi="Times New Roman"/>
          <w:sz w:val="24"/>
        </w:rPr>
        <w:t>, 490 U.S. 730, 751-52 (1989) (defining independent contractor).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