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5.3 Damages—Mitigation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has a duty to use reasonable efforts to mitigate damages. To mitigate means to avoid or reduce damages.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defendant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has the burden of proving by a preponderance of the evidence: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&gt; First, that 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failed to use reasonable efforts to mitigate damages; and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&gt; Second, the amount by which damages would have been mitigated.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As to mitigation of damages in an action under the Age Discrimination in Employment Act, see Instruction 11.13 (Age Discrimination—Damages—Back Pay—Mitigation).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