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5.5 Punitive Damages</w:t>
      </w:r>
    </w:p>
    <w:p>
      <w:pPr>
        <w:spacing w:after="240"/>
        <w:ind w:firstLine="720"/>
      </w:pPr>
      <w:r>
        <w:rPr>
          <w:rFonts w:ascii="Times New Roman" w:hAnsi="Times New Roman"/>
          <w:sz w:val="24"/>
        </w:rPr>
        <w:t>If you find for the plaintiff [</w:t>
      </w:r>
      <w:r>
        <w:rPr>
          <w:rFonts w:ascii="Times New Roman" w:hAnsi="Times New Roman"/>
          <w:i/>
          <w:sz w:val="24"/>
          <w:u w:val="single"/>
        </w:rPr>
        <w:t>name</w:t>
      </w:r>
      <w:r>
        <w:rPr>
          <w:rFonts w:ascii="Times New Roman" w:hAnsi="Times New Roman"/>
          <w:sz w:val="24"/>
        </w:rPr>
        <w:t>], you may, but are not required to, award punitive damages. The purposes of punitive damages are to punish a defendant and to deter similar acts in the future. Punitive damages may not be awarded to compensate a plaintiff.</w:t>
      </w:r>
    </w:p>
    <w:p>
      <w:pPr>
        <w:spacing w:after="240"/>
        <w:ind w:firstLine="720"/>
      </w:pPr>
      <w:r>
        <w:rPr>
          <w:rFonts w:ascii="Times New Roman" w:hAnsi="Times New Roman"/>
          <w:sz w:val="24"/>
        </w:rPr>
        <w:t>The plaintiff [</w:t>
      </w:r>
      <w:r>
        <w:rPr>
          <w:rFonts w:ascii="Times New Roman" w:hAnsi="Times New Roman"/>
          <w:i/>
          <w:sz w:val="24"/>
          <w:u w:val="single"/>
        </w:rPr>
        <w:t>name</w:t>
      </w:r>
      <w:r>
        <w:rPr>
          <w:rFonts w:ascii="Times New Roman" w:hAnsi="Times New Roman"/>
          <w:sz w:val="24"/>
        </w:rPr>
        <w:t>] has the burden of proving by [a preponderance of the evidence] [clear and convincing evidence] that punitive damages should be awarded and, if so, the amount of any such damages.</w:t>
      </w:r>
    </w:p>
    <w:p>
      <w:pPr>
        <w:spacing w:after="240"/>
        <w:ind w:firstLine="720"/>
      </w:pPr>
      <w:r>
        <w:rPr>
          <w:rFonts w:ascii="Times New Roman" w:hAnsi="Times New Roman"/>
          <w:sz w:val="24"/>
        </w:rPr>
        <w:t>You may award punitive damages only if you find that the defendant [</w:t>
      </w:r>
      <w:r>
        <w:rPr>
          <w:rFonts w:ascii="Times New Roman" w:hAnsi="Times New Roman"/>
          <w:i/>
          <w:sz w:val="24"/>
          <w:u w:val="single"/>
        </w:rPr>
        <w:t>name</w:t>
      </w:r>
      <w:r>
        <w:rPr>
          <w:rFonts w:ascii="Times New Roman" w:hAnsi="Times New Roman"/>
          <w:sz w:val="24"/>
        </w:rPr>
        <w:t>]’s conduct that harmed the plaintiff [</w:t>
      </w:r>
      <w:r>
        <w:rPr>
          <w:rFonts w:ascii="Times New Roman" w:hAnsi="Times New Roman"/>
          <w:i/>
          <w:sz w:val="24"/>
          <w:u w:val="single"/>
        </w:rPr>
        <w:t>name</w:t>
      </w:r>
      <w:r>
        <w:rPr>
          <w:rFonts w:ascii="Times New Roman" w:hAnsi="Times New Roman"/>
          <w:sz w:val="24"/>
        </w:rPr>
        <w:t>] was malicious, oppressive or in reckless disregard of the plaintiff’s rights. Conduct is malicious if it is accompanied by ill will, or spite, or if it is for the purpose of injuring the plaintiff [</w:t>
      </w:r>
      <w:r>
        <w:rPr>
          <w:rFonts w:ascii="Times New Roman" w:hAnsi="Times New Roman"/>
          <w:i/>
          <w:sz w:val="24"/>
          <w:u w:val="single"/>
        </w:rPr>
        <w:t>name</w:t>
      </w:r>
      <w:r>
        <w:rPr>
          <w:rFonts w:ascii="Times New Roman" w:hAnsi="Times New Roman"/>
          <w:sz w:val="24"/>
        </w:rPr>
        <w:t>]. Conduct is in reckless disregard of the plaintiff’s rights if, under the circumstances, it reflects complete indifference to the plaintiff’s safety or rights, or if the defendant acts in the face of a perceived risk that its actions will violate the plaintiff’s rights under federal law. An act or omission is oppressive if the defendant injures or damages or otherwise violates the rights of the plaintiff with unnecessary harshness or severity, such as by misusing or abusing authority or power or by taking advantage of some weakness or disability or misfortune of the plaintiff.</w:t>
      </w:r>
    </w:p>
    <w:p>
      <w:pPr>
        <w:spacing w:after="240"/>
        <w:ind w:firstLine="720"/>
      </w:pPr>
      <w:r>
        <w:rPr>
          <w:rFonts w:ascii="Times New Roman" w:hAnsi="Times New Roman"/>
          <w:sz w:val="24"/>
        </w:rPr>
        <w:t>If you find that punitive damages are appropriate, you must use reason in setting the amount. Punitive damages, if any, should be in an amount sufficient to fulfill their purposes but should not reflect bias, prejudice, or sympathy toward any party. In considering the amount of any punitive damages, consider the degree of reprehensibility of the defendant [</w:t>
      </w:r>
      <w:r>
        <w:rPr>
          <w:rFonts w:ascii="Times New Roman" w:hAnsi="Times New Roman"/>
          <w:i/>
          <w:sz w:val="24"/>
          <w:u w:val="single"/>
        </w:rPr>
        <w:t>name</w:t>
      </w:r>
      <w:r>
        <w:rPr>
          <w:rFonts w:ascii="Times New Roman" w:hAnsi="Times New Roman"/>
          <w:sz w:val="24"/>
        </w:rPr>
        <w:t>] conduct[, including whether the conduct that harmed the plaintiff [</w:t>
      </w:r>
      <w:r>
        <w:rPr>
          <w:rFonts w:ascii="Times New Roman" w:hAnsi="Times New Roman"/>
          <w:i/>
          <w:sz w:val="24"/>
          <w:u w:val="single"/>
        </w:rPr>
        <w:t>name</w:t>
      </w:r>
      <w:r>
        <w:rPr>
          <w:rFonts w:ascii="Times New Roman" w:hAnsi="Times New Roman"/>
          <w:sz w:val="24"/>
        </w:rPr>
        <w:t>] was particularly reprehensible because it also caused actual harm or posed a substantial risk of harm to people who are not parties to this case. You may not, however, set the amount of any punitive damages to punish the defendant [</w:t>
      </w:r>
      <w:r>
        <w:rPr>
          <w:rFonts w:ascii="Times New Roman" w:hAnsi="Times New Roman"/>
          <w:i/>
          <w:sz w:val="24"/>
          <w:u w:val="single"/>
        </w:rPr>
        <w:t>name</w:t>
      </w:r>
      <w:r>
        <w:rPr>
          <w:rFonts w:ascii="Times New Roman" w:hAnsi="Times New Roman"/>
          <w:sz w:val="24"/>
        </w:rPr>
        <w:t>] for harm to anyone other than the plaintiff [</w:t>
      </w:r>
      <w:r>
        <w:rPr>
          <w:rFonts w:ascii="Times New Roman" w:hAnsi="Times New Roman"/>
          <w:i/>
          <w:sz w:val="24"/>
          <w:u w:val="single"/>
        </w:rPr>
        <w:t>name</w:t>
      </w:r>
      <w:r>
        <w:rPr>
          <w:rFonts w:ascii="Times New Roman" w:hAnsi="Times New Roman"/>
          <w:sz w:val="24"/>
        </w:rPr>
        <w:t>] in this case]. [In addition, you may consider the relationship of any award of punitive damages to any actual harm inflicted on the plaintiff [</w:t>
      </w:r>
      <w:r>
        <w:rPr>
          <w:rFonts w:ascii="Times New Roman" w:hAnsi="Times New Roman"/>
          <w:i/>
          <w:sz w:val="24"/>
          <w:u w:val="single"/>
        </w:rPr>
        <w:t>name</w:t>
      </w:r>
      <w:r>
        <w:rPr>
          <w:rFonts w:ascii="Times New Roman" w:hAnsi="Times New Roman"/>
          <w:sz w:val="24"/>
        </w:rPr>
        <w:t>].]</w:t>
      </w:r>
    </w:p>
    <w:p>
      <w:pPr>
        <w:spacing w:after="240"/>
        <w:ind w:firstLine="720"/>
      </w:pPr>
      <w:r>
        <w:rPr>
          <w:rFonts w:ascii="Times New Roman" w:hAnsi="Times New Roman"/>
          <w:sz w:val="24"/>
        </w:rPr>
        <w:t>[Punitive damages may not be awarded against [</w:t>
      </w:r>
      <w:r>
        <w:rPr>
          <w:rFonts w:ascii="Times New Roman" w:hAnsi="Times New Roman"/>
          <w:i/>
          <w:sz w:val="24"/>
          <w:u w:val="single"/>
        </w:rPr>
        <w:t>specify defendant</w:t>
      </w:r>
      <w:r>
        <w:rPr>
          <w:rFonts w:ascii="Times New Roman" w:hAnsi="Times New Roman"/>
          <w:sz w:val="24"/>
        </w:rPr>
        <w:t>.] [You may impose punitive damages against one or more of the defendants and not others and may award different amounts against different defendants.] [Punitive damages may be awarded even if you award plaintiff only nominal, and not compensatory, damages.]</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Punitive damages are not available in every case. For example, punitive damages are not available against municipalities, counties, or governmental entities unless expressly authorized by statute. </w:t>
      </w:r>
      <w:r>
        <w:rPr>
          <w:rFonts w:ascii="Times New Roman" w:hAnsi="Times New Roman"/>
          <w:i/>
          <w:sz w:val="24"/>
        </w:rPr>
        <w:t>City of Newport v. Fact Concerts, Inc.</w:t>
      </w:r>
      <w:r>
        <w:rPr>
          <w:rFonts w:ascii="Times New Roman" w:hAnsi="Times New Roman"/>
          <w:sz w:val="24"/>
        </w:rPr>
        <w:t xml:space="preserve">, 453 U.S. 247, 259-71 (1981); </w:t>
      </w:r>
      <w:r>
        <w:rPr>
          <w:rFonts w:ascii="Times New Roman" w:hAnsi="Times New Roman"/>
          <w:i/>
          <w:sz w:val="24"/>
        </w:rPr>
        <w:t>see also Daniel v. Nat’l Park Serv.</w:t>
      </w:r>
      <w:r>
        <w:rPr>
          <w:rFonts w:ascii="Times New Roman" w:hAnsi="Times New Roman"/>
          <w:sz w:val="24"/>
        </w:rPr>
        <w:t xml:space="preserve">, 891 F.3d 762, 771 (9th Cir. 2018) (“There is a ‘presumption against the imposition of punitive damages on governmental entities.’”) (quoting </w:t>
      </w:r>
      <w:r>
        <w:rPr>
          <w:rFonts w:ascii="Times New Roman" w:hAnsi="Times New Roman"/>
          <w:i/>
          <w:sz w:val="24"/>
        </w:rPr>
        <w:t>Vt. Agency of Nat. Res. v. U.S. ex rel. Stevens</w:t>
      </w:r>
      <w:r>
        <w:rPr>
          <w:rFonts w:ascii="Times New Roman" w:hAnsi="Times New Roman"/>
          <w:sz w:val="24"/>
        </w:rPr>
        <w:t xml:space="preserve">, 529 U.S. 765, 785 (2000)). Punitive damages may, however, be available against governmental employees acting in their individual capacities. </w:t>
      </w:r>
      <w:r>
        <w:rPr>
          <w:rFonts w:ascii="Times New Roman" w:hAnsi="Times New Roman"/>
          <w:i/>
          <w:sz w:val="24"/>
        </w:rPr>
        <w:t xml:space="preserve">See City of Newport, </w:t>
      </w:r>
      <w:r>
        <w:rPr>
          <w:rFonts w:ascii="Times New Roman" w:hAnsi="Times New Roman"/>
          <w:sz w:val="24"/>
        </w:rPr>
        <w:t>453 U.S. at 254</w:t>
      </w:r>
      <w:r>
        <w:rPr>
          <w:rFonts w:ascii="Times New Roman" w:hAnsi="Times New Roman"/>
          <w:i/>
          <w:sz w:val="24"/>
        </w:rPr>
        <w:t xml:space="preserve">; Monell v. New York City Dept. of Soc. Services, </w:t>
      </w:r>
      <w:r>
        <w:rPr>
          <w:rFonts w:ascii="Times New Roman" w:hAnsi="Times New Roman"/>
          <w:sz w:val="24"/>
        </w:rPr>
        <w:t>436 U.S. 658 (1978)</w:t>
      </w:r>
      <w:r>
        <w:rPr>
          <w:rFonts w:ascii="Times New Roman" w:hAnsi="Times New Roman"/>
          <w:i/>
          <w:sz w:val="24"/>
        </w:rPr>
        <w:t xml:space="preserve">. </w:t>
      </w:r>
      <w:r>
        <w:rPr>
          <w:rFonts w:ascii="Times New Roman" w:hAnsi="Times New Roman"/>
          <w:sz w:val="24"/>
        </w:rPr>
        <w:t>In diversity cases, look to state law for an appropriate instruction.</w:t>
      </w:r>
    </w:p>
    <w:p>
      <w:pPr>
        <w:spacing w:after="240"/>
        <w:ind w:firstLine="720"/>
      </w:pPr>
      <w:r>
        <w:rPr>
          <w:rFonts w:ascii="Times New Roman" w:hAnsi="Times New Roman"/>
          <w:sz w:val="24"/>
        </w:rPr>
        <w:t>Whether and under what criterion punitive damages are available depends upon the substantive standards applicable to the underlying claim for relief, and, therefore, the third paragraph of this instruction should be modified accordingly.</w:t>
      </w:r>
    </w:p>
    <w:p>
      <w:pPr>
        <w:spacing w:after="240"/>
        <w:ind w:firstLine="720"/>
      </w:pPr>
      <w:r>
        <w:rPr>
          <w:rFonts w:ascii="Times New Roman" w:hAnsi="Times New Roman"/>
          <w:sz w:val="24"/>
        </w:rPr>
        <w:t xml:space="preserve">As to Title VII claims, an employer may be liable for punitive damages when the employer “discriminate[s] in the face of a perceived risk that its actions will violate federal law.” </w:t>
      </w:r>
      <w:r>
        <w:rPr>
          <w:rFonts w:ascii="Times New Roman" w:hAnsi="Times New Roman"/>
          <w:i/>
          <w:sz w:val="24"/>
        </w:rPr>
        <w:t>Passantino v. Johnson &amp; Johnson Consumer Products, Inc.</w:t>
      </w:r>
      <w:r>
        <w:rPr>
          <w:rFonts w:ascii="Times New Roman" w:hAnsi="Times New Roman"/>
          <w:sz w:val="24"/>
        </w:rPr>
        <w:t xml:space="preserve">, 212 F.3d 493, 515 (9th Cir. 2000) (citing </w:t>
      </w:r>
      <w:r>
        <w:rPr>
          <w:rFonts w:ascii="Times New Roman" w:hAnsi="Times New Roman"/>
          <w:i/>
          <w:sz w:val="24"/>
        </w:rPr>
        <w:t>Kolstad v. Am. Dental Ass’n</w:t>
      </w:r>
      <w:r>
        <w:rPr>
          <w:rFonts w:ascii="Times New Roman" w:hAnsi="Times New Roman"/>
          <w:sz w:val="24"/>
        </w:rPr>
        <w:t xml:space="preserve">., 527 U.S. 526, 536 (1999)). </w:t>
      </w:r>
      <w:r>
        <w:rPr>
          <w:rFonts w:ascii="Times New Roman" w:hAnsi="Times New Roman"/>
          <w:i/>
          <w:sz w:val="24"/>
        </w:rPr>
        <w:t>See also Caudle v. Bristol Optical Co</w:t>
      </w:r>
      <w:r>
        <w:rPr>
          <w:rFonts w:ascii="Times New Roman" w:hAnsi="Times New Roman"/>
          <w:sz w:val="24"/>
        </w:rPr>
        <w:t xml:space="preserve">., 224 F.3d 1014, 1026-27 (9th Cir. 2000). Punitive and compensatory damages are subject to caps in Title VII cases. </w:t>
      </w:r>
      <w:r>
        <w:rPr>
          <w:rFonts w:ascii="Times New Roman" w:hAnsi="Times New Roman"/>
          <w:i/>
          <w:sz w:val="24"/>
        </w:rPr>
        <w:t xml:space="preserve">See </w:t>
      </w:r>
      <w:r>
        <w:rPr>
          <w:rFonts w:ascii="Times New Roman" w:hAnsi="Times New Roman"/>
          <w:sz w:val="24"/>
        </w:rPr>
        <w:t xml:space="preserve">42 U.S.C. § 1981a(b)(3); </w:t>
      </w:r>
      <w:r>
        <w:rPr>
          <w:rFonts w:ascii="Times New Roman" w:hAnsi="Times New Roman"/>
          <w:i/>
          <w:sz w:val="24"/>
        </w:rPr>
        <w:t>Arizona v. ASARCO LLC</w:t>
      </w:r>
      <w:r>
        <w:rPr>
          <w:rFonts w:ascii="Times New Roman" w:hAnsi="Times New Roman"/>
          <w:sz w:val="24"/>
        </w:rPr>
        <w:t>, 773 F.3d 1050 (9th Cir. 2014) (en banc) (analyzing constitutionality of punitive damages under § 1981(b) when only nominal damages are awarded).</w:t>
      </w:r>
    </w:p>
    <w:p>
      <w:pPr>
        <w:spacing w:after="240"/>
        <w:ind w:firstLine="720"/>
      </w:pPr>
      <w:r>
        <w:rPr>
          <w:rFonts w:ascii="Times New Roman" w:hAnsi="Times New Roman"/>
          <w:sz w:val="24"/>
        </w:rPr>
        <w:t xml:space="preserve">As to § 1983 claims, “[i]t is well-established that a ‘jury may award punitive damages . . . either when a defendant’s conduct was driven by evil motive or intent, or when it involved a reckless or callous indifference to the constitutional rights of others.’” </w:t>
      </w:r>
      <w:r>
        <w:rPr>
          <w:rFonts w:ascii="Times New Roman" w:hAnsi="Times New Roman"/>
          <w:i/>
          <w:sz w:val="24"/>
        </w:rPr>
        <w:t xml:space="preserve">Morgan v. Woessner, </w:t>
      </w:r>
      <w:r>
        <w:rPr>
          <w:rFonts w:ascii="Times New Roman" w:hAnsi="Times New Roman"/>
          <w:sz w:val="24"/>
        </w:rPr>
        <w:t xml:space="preserve">997 F.2d 1244, 1255 (9th Cir. 1993). In </w:t>
      </w:r>
      <w:r>
        <w:rPr>
          <w:rFonts w:ascii="Times New Roman" w:hAnsi="Times New Roman"/>
          <w:i/>
          <w:sz w:val="24"/>
        </w:rPr>
        <w:t xml:space="preserve">Dang v. Cross, </w:t>
      </w:r>
      <w:r>
        <w:rPr>
          <w:rFonts w:ascii="Times New Roman" w:hAnsi="Times New Roman"/>
          <w:sz w:val="24"/>
        </w:rPr>
        <w:t xml:space="preserve">the Ninth Circuit held this “statement of the law of punitive damages is incomplete, however. The standard for punitive damages under § 1983 mirrors the standard for punitive damages under common law tort cases. . . . [M]alicious, wanton, or oppressive acts or omissions are within the boundaries of traditional tort standards for assessing punitive damages and foster ‘deterrence and punishment over and above that provided by compensatory awards.’ . . . Such acts are therefore all proper predicates for punitive damages under § 1983.” 422 F.3d 800, 807 (9th Cir. 2005) (citing </w:t>
      </w:r>
      <w:r>
        <w:rPr>
          <w:rFonts w:ascii="Times New Roman" w:hAnsi="Times New Roman"/>
          <w:i/>
          <w:sz w:val="24"/>
        </w:rPr>
        <w:t xml:space="preserve">Smith v. Wade, </w:t>
      </w:r>
      <w:r>
        <w:rPr>
          <w:rFonts w:ascii="Times New Roman" w:hAnsi="Times New Roman"/>
          <w:sz w:val="24"/>
        </w:rPr>
        <w:t xml:space="preserve">416 U.S. 30, 49 (1983)). The </w:t>
      </w:r>
      <w:r>
        <w:rPr>
          <w:rFonts w:ascii="Times New Roman" w:hAnsi="Times New Roman"/>
          <w:i/>
          <w:sz w:val="24"/>
        </w:rPr>
        <w:t xml:space="preserve">Dang </w:t>
      </w:r>
      <w:r>
        <w:rPr>
          <w:rFonts w:ascii="Times New Roman" w:hAnsi="Times New Roman"/>
          <w:sz w:val="24"/>
        </w:rPr>
        <w:t>court held it was reversible error to decline to instruct that “oppressive acts” were an alternative basis for punitive damages in a § 1983 case.</w:t>
      </w:r>
    </w:p>
    <w:p>
      <w:pPr>
        <w:spacing w:after="240"/>
        <w:ind w:firstLine="720"/>
      </w:pPr>
      <w:r>
        <w:rPr>
          <w:rFonts w:ascii="Times New Roman" w:hAnsi="Times New Roman"/>
          <w:sz w:val="24"/>
        </w:rPr>
        <w:t xml:space="preserve">Similarly, punitive damages claims arising under state law are subject to state law standards for recovery which should be reflected in a modified jury instruction. </w:t>
      </w:r>
      <w:r>
        <w:rPr>
          <w:rFonts w:ascii="Times New Roman" w:hAnsi="Times New Roman"/>
          <w:i/>
          <w:sz w:val="24"/>
        </w:rPr>
        <w:t>See, e.g.</w:t>
      </w:r>
      <w:r>
        <w:rPr>
          <w:rFonts w:ascii="Times New Roman" w:hAnsi="Times New Roman"/>
          <w:sz w:val="24"/>
        </w:rPr>
        <w:t xml:space="preserve">, </w:t>
      </w:r>
      <w:r>
        <w:rPr>
          <w:rFonts w:ascii="Times New Roman" w:hAnsi="Times New Roman"/>
          <w:i/>
          <w:sz w:val="24"/>
        </w:rPr>
        <w:t xml:space="preserve">Coughlin v. Tailhook Ass’n, </w:t>
      </w:r>
      <w:r>
        <w:rPr>
          <w:rFonts w:ascii="Times New Roman" w:hAnsi="Times New Roman"/>
          <w:sz w:val="24"/>
        </w:rPr>
        <w:t>112 F.3d 1052, 1056 (9th Cir. 1997).</w:t>
      </w:r>
    </w:p>
    <w:p>
      <w:pPr>
        <w:spacing w:after="240"/>
        <w:ind w:firstLine="720"/>
      </w:pPr>
      <w:r>
        <w:rPr>
          <w:rFonts w:ascii="Times New Roman" w:hAnsi="Times New Roman"/>
          <w:sz w:val="24"/>
        </w:rPr>
        <w:t xml:space="preserve">Further, punitive damages are not an available remedy on an unseaworthiness or Jones Act claims. </w:t>
      </w:r>
      <w:r>
        <w:rPr>
          <w:rFonts w:ascii="Times New Roman" w:hAnsi="Times New Roman"/>
          <w:i/>
          <w:sz w:val="24"/>
        </w:rPr>
        <w:t>Dutra Grp. v. Batteron</w:t>
      </w:r>
      <w:r>
        <w:rPr>
          <w:rFonts w:ascii="Times New Roman" w:hAnsi="Times New Roman"/>
          <w:sz w:val="24"/>
        </w:rPr>
        <w:t xml:space="preserve">, 588 U.S. 358 (2019) </w:t>
      </w:r>
      <w:r>
        <w:rPr>
          <w:rFonts w:ascii="Times New Roman" w:hAnsi="Times New Roman"/>
          <w:i/>
          <w:sz w:val="24"/>
        </w:rPr>
        <w:t>rev’g Batteron v. Dutra Grp.</w:t>
      </w:r>
      <w:r>
        <w:rPr>
          <w:rFonts w:ascii="Times New Roman" w:hAnsi="Times New Roman"/>
          <w:sz w:val="24"/>
        </w:rPr>
        <w:t xml:space="preserve">, 880 F.3d 1089 (9th Cir. 2018) (no punitive damages on unseaworthiness claims); </w:t>
      </w:r>
      <w:r>
        <w:rPr>
          <w:rFonts w:ascii="Times New Roman" w:hAnsi="Times New Roman"/>
          <w:i/>
          <w:sz w:val="24"/>
        </w:rPr>
        <w:t>Evich v. Morris</w:t>
      </w:r>
      <w:r>
        <w:rPr>
          <w:rFonts w:ascii="Times New Roman" w:hAnsi="Times New Roman"/>
          <w:sz w:val="24"/>
        </w:rPr>
        <w:t xml:space="preserve">, 819 F.2d 256, 258 (9th Cir. 1987), </w:t>
      </w:r>
      <w:r>
        <w:rPr>
          <w:rFonts w:ascii="Times New Roman" w:hAnsi="Times New Roman"/>
          <w:i/>
          <w:sz w:val="24"/>
        </w:rPr>
        <w:t>abrogated by Dutra Grp. v. Batterton</w:t>
      </w:r>
      <w:r>
        <w:rPr>
          <w:rFonts w:ascii="Times New Roman" w:hAnsi="Times New Roman"/>
          <w:sz w:val="24"/>
        </w:rPr>
        <w:t xml:space="preserve">, 588 U.S. 358 (2019) (citing </w:t>
      </w:r>
      <w:r>
        <w:rPr>
          <w:rFonts w:ascii="Times New Roman" w:hAnsi="Times New Roman"/>
          <w:i/>
          <w:sz w:val="24"/>
        </w:rPr>
        <w:t>Kopczynski v. The Jacqueline</w:t>
      </w:r>
      <w:r>
        <w:rPr>
          <w:rFonts w:ascii="Times New Roman" w:hAnsi="Times New Roman"/>
          <w:sz w:val="24"/>
        </w:rPr>
        <w:t>, 753 F.2d 555, 560-61 (9th Cir. 1984)) (no punitive damages on Jones Act claims).</w:t>
      </w:r>
    </w:p>
    <w:p>
      <w:pPr>
        <w:spacing w:after="240"/>
        <w:ind w:firstLine="720"/>
      </w:pPr>
      <w:r>
        <w:rPr>
          <w:rFonts w:ascii="Times New Roman" w:hAnsi="Times New Roman"/>
          <w:sz w:val="24"/>
        </w:rPr>
        <w:t>Whether punitive damages need to be proved by a preponderance of the evidence or clear and convincing evidence also depends on the standards applicable to the underlying claim for relief. For example, several states in the Ninth Circuit require proof by clear and convincing evidence before punitive damages are awarded on a state law claim.</w:t>
      </w:r>
      <w:r>
        <w:rPr>
          <w:rFonts w:ascii="Times New Roman" w:hAnsi="Times New Roman"/>
          <w:i/>
          <w:sz w:val="24"/>
        </w:rPr>
        <w:t xml:space="preserve"> See, e.g.</w:t>
      </w:r>
      <w:r>
        <w:rPr>
          <w:rFonts w:ascii="Times New Roman" w:hAnsi="Times New Roman"/>
          <w:sz w:val="24"/>
        </w:rPr>
        <w:t xml:space="preserve">, </w:t>
      </w:r>
      <w:r>
        <w:rPr>
          <w:rFonts w:ascii="Times New Roman" w:hAnsi="Times New Roman"/>
          <w:i/>
          <w:sz w:val="24"/>
        </w:rPr>
        <w:t>White v. Ford Motor Co</w:t>
      </w:r>
      <w:r>
        <w:rPr>
          <w:rFonts w:ascii="Times New Roman" w:hAnsi="Times New Roman"/>
          <w:sz w:val="24"/>
        </w:rPr>
        <w:t xml:space="preserve">., 312 F.3d 998, 1011 (9th Cir. 2002) (applying Nevada’s clear and convincing standard). On the other hand, preponderance of the evidence standard has been upheld for punitive damages in certain federal claims. </w:t>
      </w:r>
      <w:r>
        <w:rPr>
          <w:rFonts w:ascii="Times New Roman" w:hAnsi="Times New Roman"/>
          <w:i/>
          <w:sz w:val="24"/>
        </w:rPr>
        <w:t>See, e.g.</w:t>
      </w:r>
      <w:r>
        <w:rPr>
          <w:rFonts w:ascii="Times New Roman" w:hAnsi="Times New Roman"/>
          <w:sz w:val="24"/>
        </w:rPr>
        <w:t>,</w:t>
      </w:r>
      <w:r>
        <w:rPr>
          <w:rFonts w:ascii="Times New Roman" w:hAnsi="Times New Roman"/>
          <w:i/>
          <w:sz w:val="24"/>
        </w:rPr>
        <w:t xml:space="preserve"> In re Exxon Valdez, </w:t>
      </w:r>
      <w:r>
        <w:rPr>
          <w:rFonts w:ascii="Times New Roman" w:hAnsi="Times New Roman"/>
          <w:sz w:val="24"/>
        </w:rPr>
        <w:t xml:space="preserve">270 F.3d 1215, 1232 (9th Cir. 2001) (holding that preponderance standard applied to punitive damages claim in maritime case (citing </w:t>
      </w:r>
      <w:r>
        <w:rPr>
          <w:rFonts w:ascii="Times New Roman" w:hAnsi="Times New Roman"/>
          <w:i/>
          <w:sz w:val="24"/>
        </w:rPr>
        <w:t>Pac. Mut. Life Ins. Co. v. Haslip</w:t>
      </w:r>
      <w:r>
        <w:rPr>
          <w:rFonts w:ascii="Times New Roman" w:hAnsi="Times New Roman"/>
          <w:sz w:val="24"/>
        </w:rPr>
        <w:t>, 499 U.S. 1, 23 n.11 (1991))).</w:t>
      </w:r>
    </w:p>
    <w:p>
      <w:pPr>
        <w:spacing w:after="240"/>
        <w:ind w:firstLine="720"/>
      </w:pPr>
      <w:r>
        <w:rPr>
          <w:rFonts w:ascii="Times New Roman" w:hAnsi="Times New Roman"/>
          <w:sz w:val="24"/>
        </w:rPr>
        <w:t xml:space="preserve">If punitive damages are available and evidence of the defendant’s financial condition is offered in support of such damages, a limiting instruction may be appropriate. </w:t>
      </w:r>
      <w:r>
        <w:rPr>
          <w:rFonts w:ascii="Times New Roman" w:hAnsi="Times New Roman"/>
          <w:i/>
          <w:sz w:val="24"/>
        </w:rPr>
        <w:t xml:space="preserve">See </w:t>
      </w:r>
      <w:r>
        <w:rPr>
          <w:rFonts w:ascii="Times New Roman" w:hAnsi="Times New Roman"/>
          <w:sz w:val="24"/>
        </w:rPr>
        <w:t>Instruction 1.11 (Evidence for Limited Purpose) and numbered paragraph (3) in Instruction 1.10 (What Is Not Evidence).</w:t>
      </w:r>
    </w:p>
    <w:p>
      <w:pPr>
        <w:spacing w:after="240"/>
        <w:ind w:firstLine="720"/>
      </w:pPr>
      <w:r>
        <w:rPr>
          <w:rFonts w:ascii="Times New Roman" w:hAnsi="Times New Roman"/>
          <w:sz w:val="24"/>
        </w:rPr>
        <w:t>Regarding degree of reprehensibility and punitive damages generally, see</w:t>
      </w:r>
      <w:r>
        <w:rPr>
          <w:rFonts w:ascii="Times New Roman" w:hAnsi="Times New Roman"/>
          <w:i/>
          <w:sz w:val="24"/>
        </w:rPr>
        <w:t xml:space="preserve"> Philip Morris USA v. Williams</w:t>
      </w:r>
      <w:r>
        <w:rPr>
          <w:rFonts w:ascii="Times New Roman" w:hAnsi="Times New Roman"/>
          <w:sz w:val="24"/>
        </w:rPr>
        <w:t xml:space="preserve">, 549 U.S. 346, 353-54 (2007), </w:t>
      </w:r>
      <w:r>
        <w:rPr>
          <w:rFonts w:ascii="Times New Roman" w:hAnsi="Times New Roman"/>
          <w:i/>
          <w:sz w:val="24"/>
        </w:rPr>
        <w:t>BMW of N. Am., Inc. v. Gore</w:t>
      </w:r>
      <w:r>
        <w:rPr>
          <w:rFonts w:ascii="Times New Roman" w:hAnsi="Times New Roman"/>
          <w:sz w:val="24"/>
        </w:rPr>
        <w:t xml:space="preserve">, 517 U.S. 559 (1996), </w:t>
      </w:r>
      <w:r>
        <w:rPr>
          <w:rFonts w:ascii="Times New Roman" w:hAnsi="Times New Roman"/>
          <w:i/>
          <w:sz w:val="24"/>
        </w:rPr>
        <w:t>Pac. Mut. Life Ins. Co. v. Haslip</w:t>
      </w:r>
      <w:r>
        <w:rPr>
          <w:rFonts w:ascii="Times New Roman" w:hAnsi="Times New Roman"/>
          <w:sz w:val="24"/>
        </w:rPr>
        <w:t xml:space="preserve">, 499 U.S. 1 (1991). </w:t>
      </w:r>
      <w:r>
        <w:rPr>
          <w:rFonts w:ascii="Times New Roman" w:hAnsi="Times New Roman"/>
          <w:i/>
          <w:sz w:val="24"/>
        </w:rPr>
        <w:t>See Morgan v. Woessner</w:t>
      </w:r>
      <w:r>
        <w:rPr>
          <w:rFonts w:ascii="Times New Roman" w:hAnsi="Times New Roman"/>
          <w:sz w:val="24"/>
        </w:rPr>
        <w:t>, 997 F.2d 1244, 1256 (9th Cir. 1993) (“</w:t>
      </w:r>
      <w:r>
        <w:rPr>
          <w:rFonts w:ascii="Times New Roman" w:hAnsi="Times New Roman"/>
          <w:i/>
          <w:sz w:val="24"/>
        </w:rPr>
        <w:t xml:space="preserve">Haslip </w:t>
      </w:r>
      <w:r>
        <w:rPr>
          <w:rFonts w:ascii="Times New Roman" w:hAnsi="Times New Roman"/>
          <w:sz w:val="24"/>
        </w:rPr>
        <w:t xml:space="preserve">said that instructions should be fashioned to describe the proper purposes of punitive damages so that the jury understands that punitive damages are not to compensate the plaintiff, but to punish the defendant and to deter the defendant and others from such conduct in the future.”); </w:t>
      </w:r>
      <w:r>
        <w:rPr>
          <w:rFonts w:ascii="Times New Roman" w:hAnsi="Times New Roman"/>
          <w:i/>
          <w:sz w:val="24"/>
        </w:rPr>
        <w:t>White v. Ford Motor Co.</w:t>
      </w:r>
      <w:r>
        <w:rPr>
          <w:rFonts w:ascii="Times New Roman" w:hAnsi="Times New Roman"/>
          <w:sz w:val="24"/>
        </w:rPr>
        <w:t xml:space="preserve">, 500 F.3d 963, 972 (9th Cir. 2007) (holding that trial court’s failure to give a “harm to nonparties” instruction violated due process and was reversible error after </w:t>
      </w:r>
      <w:r>
        <w:rPr>
          <w:rFonts w:ascii="Times New Roman" w:hAnsi="Times New Roman"/>
          <w:i/>
          <w:sz w:val="24"/>
        </w:rPr>
        <w:t>Williams</w:t>
      </w:r>
      <w:r>
        <w:rPr>
          <w:rFonts w:ascii="Times New Roman" w:hAnsi="Times New Roman"/>
          <w:sz w:val="24"/>
        </w:rPr>
        <w:t>). Bracketed language in the fourth paragraph of the instruction addresses this requirement when evidence concerning harm to nonparties is admitted on the issue of degree of reprehensibility.</w:t>
      </w:r>
    </w:p>
    <w:p>
      <w:pPr>
        <w:spacing w:after="240"/>
        <w:ind w:firstLine="720"/>
      </w:pPr>
      <w:r>
        <w:rPr>
          <w:rFonts w:ascii="Times New Roman" w:hAnsi="Times New Roman"/>
          <w:sz w:val="24"/>
        </w:rPr>
        <w:t xml:space="preserve">Regarding whether to instruct the jury concerning the relationship of any award of punitive damages to compensatory damages, the Ninth Circuit noted in </w:t>
      </w:r>
      <w:r>
        <w:rPr>
          <w:rFonts w:ascii="Times New Roman" w:hAnsi="Times New Roman"/>
          <w:i/>
          <w:sz w:val="24"/>
        </w:rPr>
        <w:t xml:space="preserve">White v. Ford Motor Co. </w:t>
      </w:r>
      <w:r>
        <w:rPr>
          <w:rFonts w:ascii="Times New Roman" w:hAnsi="Times New Roman"/>
          <w:sz w:val="24"/>
        </w:rPr>
        <w:t xml:space="preserve">that this inquiry “is markedly different from the jury’s determination of a specific amount of punitive damages; its purpose is to aid in ascertaining the constitutional </w:t>
      </w:r>
      <w:r>
        <w:rPr>
          <w:rFonts w:ascii="Times New Roman" w:hAnsi="Times New Roman"/>
          <w:i/>
          <w:sz w:val="24"/>
        </w:rPr>
        <w:t xml:space="preserve">ceiling. </w:t>
      </w:r>
      <w:r>
        <w:rPr>
          <w:rFonts w:ascii="Times New Roman" w:hAnsi="Times New Roman"/>
          <w:sz w:val="24"/>
        </w:rPr>
        <w:t xml:space="preserve">Unlike the initial damage calculation, determining the constitutional ceiling on a punitive damage award is a question of law, properly reserved for the court.” 500 F.3d at 974 (emphasis in original). The court also observed that, although “states are certainly free to incorporate the reasonable relationship concept into jury instructions, . . . it is also constitutionally permissible for a district court to delay the reasonable relationship inquiry until the judge’s post-verdict review.” </w:t>
      </w:r>
      <w:r>
        <w:rPr>
          <w:rFonts w:ascii="Times New Roman" w:hAnsi="Times New Roman"/>
          <w:i/>
          <w:sz w:val="24"/>
        </w:rPr>
        <w:t xml:space="preserve">Id. </w:t>
      </w:r>
      <w:r>
        <w:rPr>
          <w:rFonts w:ascii="Times New Roman" w:hAnsi="Times New Roman"/>
          <w:sz w:val="24"/>
        </w:rPr>
        <w:t xml:space="preserve">Because Nevada chose the latter course, it was not error in </w:t>
      </w:r>
      <w:r>
        <w:rPr>
          <w:rFonts w:ascii="Times New Roman" w:hAnsi="Times New Roman"/>
          <w:i/>
          <w:sz w:val="24"/>
        </w:rPr>
        <w:t xml:space="preserve">White </w:t>
      </w:r>
      <w:r>
        <w:rPr>
          <w:rFonts w:ascii="Times New Roman" w:hAnsi="Times New Roman"/>
          <w:sz w:val="24"/>
        </w:rPr>
        <w:t xml:space="preserve">for the district court to decline a “relationship inquiry” instruction. </w:t>
      </w:r>
      <w:r>
        <w:rPr>
          <w:rFonts w:ascii="Times New Roman" w:hAnsi="Times New Roman"/>
          <w:i/>
          <w:sz w:val="24"/>
        </w:rPr>
        <w:t>Id.</w:t>
      </w:r>
    </w:p>
    <w:p>
      <w:pPr>
        <w:spacing w:after="240"/>
        <w:ind w:firstLine="720"/>
      </w:pPr>
      <w:r>
        <w:rPr>
          <w:rFonts w:ascii="Times New Roman" w:hAnsi="Times New Roman"/>
          <w:sz w:val="24"/>
        </w:rPr>
        <w:t>Regarding the constitutional due process issues involved in the “relationship inquiry,” see</w:t>
      </w:r>
      <w:r>
        <w:rPr>
          <w:rFonts w:ascii="Times New Roman" w:hAnsi="Times New Roman"/>
          <w:i/>
          <w:sz w:val="24"/>
        </w:rPr>
        <w:t xml:space="preserve"> State Farm Mut. Auto. Ins. Co. v. Campbell</w:t>
      </w:r>
      <w:r>
        <w:rPr>
          <w:rFonts w:ascii="Times New Roman" w:hAnsi="Times New Roman"/>
          <w:sz w:val="24"/>
        </w:rPr>
        <w:t xml:space="preserve">, 538 U.S. 408, 425 (2003), referring to </w:t>
      </w:r>
      <w:r>
        <w:rPr>
          <w:rFonts w:ascii="Times New Roman" w:hAnsi="Times New Roman"/>
          <w:i/>
          <w:sz w:val="24"/>
        </w:rPr>
        <w:t xml:space="preserve">Gore </w:t>
      </w:r>
      <w:r>
        <w:rPr>
          <w:rFonts w:ascii="Times New Roman" w:hAnsi="Times New Roman"/>
          <w:sz w:val="24"/>
        </w:rPr>
        <w:t xml:space="preserve">and </w:t>
      </w:r>
      <w:r>
        <w:rPr>
          <w:rFonts w:ascii="Times New Roman" w:hAnsi="Times New Roman"/>
          <w:i/>
          <w:sz w:val="24"/>
        </w:rPr>
        <w:t xml:space="preserve">Haslip </w:t>
      </w:r>
      <w:r>
        <w:rPr>
          <w:rFonts w:ascii="Times New Roman" w:hAnsi="Times New Roman"/>
          <w:sz w:val="24"/>
        </w:rPr>
        <w:t xml:space="preserve">and stating that “[s]ingle-digit multipliers are more likely to comport with due process, while still achieving the State’s goals of deterrence and retribution, than awards with ratios in range of 500 to 1, or, in this case, of 145 to 1.” In </w:t>
      </w:r>
      <w:r>
        <w:rPr>
          <w:rFonts w:ascii="Times New Roman" w:hAnsi="Times New Roman"/>
          <w:i/>
          <w:sz w:val="24"/>
        </w:rPr>
        <w:t>State Farm</w:t>
      </w:r>
      <w:r>
        <w:rPr>
          <w:rFonts w:ascii="Times New Roman" w:hAnsi="Times New Roman"/>
          <w:sz w:val="24"/>
        </w:rPr>
        <w:t xml:space="preserve">, the Court went on to say that “because there are no rigid benchmarks that a punitive damages award may not surpass, ratios greater than those we have previously upheld may comport with due process where ‘a particularly egregious act has resulted in only a small amount of economic damages.’” </w:t>
      </w:r>
      <w:r>
        <w:rPr>
          <w:rFonts w:ascii="Times New Roman" w:hAnsi="Times New Roman"/>
          <w:i/>
          <w:sz w:val="24"/>
        </w:rPr>
        <w:t>Id</w:t>
      </w:r>
      <w:r>
        <w:rPr>
          <w:rFonts w:ascii="Times New Roman" w:hAnsi="Times New Roman"/>
          <w:sz w:val="24"/>
        </w:rPr>
        <w:t xml:space="preserve">. (quoting </w:t>
      </w:r>
      <w:r>
        <w:rPr>
          <w:rFonts w:ascii="Times New Roman" w:hAnsi="Times New Roman"/>
          <w:i/>
          <w:sz w:val="24"/>
        </w:rPr>
        <w:t>Gore</w:t>
      </w:r>
      <w:r>
        <w:rPr>
          <w:rFonts w:ascii="Times New Roman" w:hAnsi="Times New Roman"/>
          <w:sz w:val="24"/>
        </w:rPr>
        <w:t xml:space="preserve">, 517 U.S. at 582). For an application of the </w:t>
      </w:r>
      <w:r>
        <w:rPr>
          <w:rFonts w:ascii="Times New Roman" w:hAnsi="Times New Roman"/>
          <w:i/>
          <w:sz w:val="24"/>
        </w:rPr>
        <w:t xml:space="preserve">State Farm </w:t>
      </w:r>
      <w:r>
        <w:rPr>
          <w:rFonts w:ascii="Times New Roman" w:hAnsi="Times New Roman"/>
          <w:sz w:val="24"/>
        </w:rPr>
        <w:t xml:space="preserve">ratio principles in the context of a 42 U.S.C. § 1981 case, </w:t>
      </w:r>
      <w:r>
        <w:rPr>
          <w:rFonts w:ascii="Times New Roman" w:hAnsi="Times New Roman"/>
          <w:i/>
          <w:sz w:val="24"/>
        </w:rPr>
        <w:t>see Bains LLC v. Arco Prods. Co.</w:t>
      </w:r>
      <w:r>
        <w:rPr>
          <w:rFonts w:ascii="Times New Roman" w:hAnsi="Times New Roman"/>
          <w:sz w:val="24"/>
        </w:rPr>
        <w:t xml:space="preserve">, 405 F.3d 764, 774-77 (9th Cir. 2005). </w:t>
      </w:r>
      <w:r>
        <w:rPr>
          <w:rFonts w:ascii="Times New Roman" w:hAnsi="Times New Roman"/>
          <w:i/>
          <w:sz w:val="24"/>
        </w:rPr>
        <w:t>But see Exxon Shipping Co. v. Baker</w:t>
      </w:r>
      <w:r>
        <w:rPr>
          <w:rFonts w:ascii="Times New Roman" w:hAnsi="Times New Roman"/>
          <w:sz w:val="24"/>
        </w:rPr>
        <w:t>, 554 U.S. 471, 513 (2008) (applying federal maritime common law to conclude punitive damages could not exceed 1:1 ratio in maritime cases).</w:t>
      </w:r>
    </w:p>
    <w:p>
      <w:pPr>
        <w:spacing w:after="240"/>
        <w:ind w:firstLine="720"/>
      </w:pPr>
      <w:r>
        <w:rPr>
          <w:rFonts w:ascii="Times New Roman" w:hAnsi="Times New Roman"/>
          <w:i/>
          <w:sz w:val="24"/>
        </w:rPr>
        <w:t>Revised March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