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6.4 FELA—Causation</w:t>
      </w:r>
    </w:p>
    <w:p>
      <w:pPr>
        <w:spacing w:after="240"/>
        <w:ind w:firstLine="720"/>
      </w:pPr>
      <w:r>
        <w:rPr>
          <w:rFonts w:ascii="Times New Roman" w:hAnsi="Times New Roman"/>
          <w:sz w:val="24"/>
        </w:rPr>
        <w:t>Negligence is a cause of an injury if it played any part, no matter how slight, in bringing about the injury or damage, even if the negligence operated in combination with the acts of another, or in combination with some other cause.</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The Supreme Court approved a similar instruction in </w:t>
      </w:r>
      <w:r>
        <w:rPr>
          <w:rFonts w:ascii="Times New Roman" w:hAnsi="Times New Roman"/>
          <w:i/>
          <w:sz w:val="24"/>
        </w:rPr>
        <w:t>CSX Transportation, Inc. v. McBride</w:t>
      </w:r>
      <w:r>
        <w:rPr>
          <w:rFonts w:ascii="Times New Roman" w:hAnsi="Times New Roman"/>
          <w:sz w:val="24"/>
        </w:rPr>
        <w:t>, 564 U.S. 685 (2011) (holding that in a FELA case, railroad employee need only establish that the railroad’s negligence played a part, no matter how small, in bringing about injury to satisfy causation element).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