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7.1 Seaman Status</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seeks recovery against the defendant [</w:t>
      </w:r>
      <w:r>
        <w:rPr>
          <w:rFonts w:ascii="Times New Roman" w:hAnsi="Times New Roman"/>
          <w:i/>
          <w:sz w:val="24"/>
          <w:u w:val="single"/>
        </w:rPr>
        <w:t>name</w:t>
      </w:r>
      <w:r>
        <w:rPr>
          <w:rFonts w:ascii="Times New Roman" w:hAnsi="Times New Roman"/>
          <w:sz w:val="24"/>
        </w:rPr>
        <w:t>] under the Jones Act for negligence. [[He] [She] [</w:t>
      </w:r>
      <w:r>
        <w:rPr>
          <w:rFonts w:ascii="Times New Roman" w:hAnsi="Times New Roman"/>
          <w:i/>
          <w:sz w:val="24"/>
          <w:u w:val="single"/>
        </w:rPr>
        <w:t>other pronoun</w:t>
      </w:r>
      <w:r>
        <w:rPr>
          <w:rFonts w:ascii="Times New Roman" w:hAnsi="Times New Roman"/>
          <w:sz w:val="24"/>
        </w:rPr>
        <w:t>] also seeks recovery under [general maritime law for unseaworthiness] [and] [maintenance and cure].] Only a “seaman” can bring these claims. The parties dispute whether or not the plaintiff [</w:t>
      </w:r>
      <w:r>
        <w:rPr>
          <w:rFonts w:ascii="Times New Roman" w:hAnsi="Times New Roman"/>
          <w:i/>
          <w:sz w:val="24"/>
          <w:u w:val="single"/>
        </w:rPr>
        <w:t>name</w:t>
      </w:r>
      <w:r>
        <w:rPr>
          <w:rFonts w:ascii="Times New Roman" w:hAnsi="Times New Roman"/>
          <w:sz w:val="24"/>
        </w:rPr>
        <w:t>] was employed as a seaman.</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must prove that [he] [she] [</w:t>
      </w:r>
      <w:r>
        <w:rPr>
          <w:rFonts w:ascii="Times New Roman" w:hAnsi="Times New Roman"/>
          <w:i/>
          <w:sz w:val="24"/>
          <w:u w:val="single"/>
        </w:rPr>
        <w:t>other pronoun</w:t>
      </w:r>
      <w:r>
        <w:rPr>
          <w:rFonts w:ascii="Times New Roman" w:hAnsi="Times New Roman"/>
          <w:sz w:val="24"/>
        </w:rPr>
        <w:t>] was a “seaman” to recover. To prove seaman status, the plaintiff [</w:t>
      </w:r>
      <w:r>
        <w:rPr>
          <w:rFonts w:ascii="Times New Roman" w:hAnsi="Times New Roman"/>
          <w:i/>
          <w:sz w:val="24"/>
          <w:u w:val="single"/>
        </w:rPr>
        <w:t>name</w:t>
      </w:r>
      <w:r>
        <w:rPr>
          <w:rFonts w:ascii="Times New Roman" w:hAnsi="Times New Roman"/>
          <w:sz w:val="24"/>
        </w:rPr>
        <w:t>] must prove the following elements by a preponderance of the evidence:</w:t>
      </w:r>
    </w:p>
    <w:p>
      <w:pPr>
        <w:spacing w:after="240"/>
        <w:ind w:firstLine="720"/>
      </w:pPr>
      <w:r>
        <w:rPr>
          <w:rFonts w:ascii="Times New Roman" w:hAnsi="Times New Roman"/>
          <w:sz w:val="24"/>
        </w:rPr>
        <w:t>First, the plaintiff [</w:t>
      </w:r>
      <w:r>
        <w:rPr>
          <w:rFonts w:ascii="Times New Roman" w:hAnsi="Times New Roman"/>
          <w:i/>
          <w:sz w:val="24"/>
          <w:u w:val="single"/>
        </w:rPr>
        <w:t>name</w:t>
      </w:r>
      <w:r>
        <w:rPr>
          <w:rFonts w:ascii="Times New Roman" w:hAnsi="Times New Roman"/>
          <w:sz w:val="24"/>
        </w:rPr>
        <w:t>] contributed to the mission or operation of [a vessel] [an identifiable group of vessels] in navigation, whether underway or at anchor; and</w:t>
      </w:r>
    </w:p>
    <w:p>
      <w:pPr>
        <w:spacing w:after="240"/>
        <w:ind w:firstLine="720"/>
      </w:pPr>
      <w:r>
        <w:rPr>
          <w:rFonts w:ascii="Times New Roman" w:hAnsi="Times New Roman"/>
          <w:sz w:val="24"/>
        </w:rPr>
        <w:t>Second, the plaintiff [</w:t>
      </w:r>
      <w:r>
        <w:rPr>
          <w:rFonts w:ascii="Times New Roman" w:hAnsi="Times New Roman"/>
          <w:i/>
          <w:sz w:val="24"/>
          <w:u w:val="single"/>
        </w:rPr>
        <w:t>name</w:t>
      </w:r>
      <w:r>
        <w:rPr>
          <w:rFonts w:ascii="Times New Roman" w:hAnsi="Times New Roman"/>
          <w:sz w:val="24"/>
        </w:rPr>
        <w:t>] had an employment-related connection to [the vessel] [an identifiable group of vessels] that was substantial in terms of both duration and nature.</w:t>
      </w:r>
    </w:p>
    <w:p>
      <w:pPr>
        <w:spacing w:after="240"/>
        <w:ind w:firstLine="720"/>
      </w:pPr>
      <w:r>
        <w:rPr>
          <w:rFonts w:ascii="Times New Roman" w:hAnsi="Times New Roman"/>
          <w:sz w:val="24"/>
        </w:rPr>
        <w:t>The phrase “vessel in navigation” is not limited to traditional ships or boats but includes every type of watercraft or artificial contrivance used, or practically capable of being used, as a means of transportation on water.</w:t>
      </w:r>
    </w:p>
    <w:p>
      <w:pPr>
        <w:spacing w:after="240"/>
        <w:ind w:firstLine="720"/>
      </w:pPr>
      <w:r>
        <w:rPr>
          <w:rFonts w:ascii="Times New Roman" w:hAnsi="Times New Roman"/>
          <w:sz w:val="24"/>
        </w:rPr>
        <w:t>The phrase “substantial in duration” means that the plaintiff [</w:t>
      </w:r>
      <w:r>
        <w:rPr>
          <w:rFonts w:ascii="Times New Roman" w:hAnsi="Times New Roman"/>
          <w:i/>
          <w:sz w:val="24"/>
          <w:u w:val="single"/>
        </w:rPr>
        <w:t>name</w:t>
      </w:r>
      <w:r>
        <w:rPr>
          <w:rFonts w:ascii="Times New Roman" w:hAnsi="Times New Roman"/>
          <w:sz w:val="24"/>
        </w:rPr>
        <w:t>]’s connection to [the vessel] [an identifiable group of vessels] must be more than merely sporadic, temporary, or incidental.</w:t>
      </w:r>
    </w:p>
    <w:p>
      <w:pPr>
        <w:spacing w:after="240"/>
        <w:ind w:firstLine="720"/>
      </w:pPr>
      <w:r>
        <w:rPr>
          <w:rFonts w:ascii="Times New Roman" w:hAnsi="Times New Roman"/>
          <w:sz w:val="24"/>
        </w:rPr>
        <w:t>The phrase “substantial in nature” means that it must regularly expose [him] [her] [</w:t>
      </w:r>
      <w:r>
        <w:rPr>
          <w:rFonts w:ascii="Times New Roman" w:hAnsi="Times New Roman"/>
          <w:i/>
          <w:sz w:val="24"/>
          <w:u w:val="single"/>
        </w:rPr>
        <w:t>other pronoun</w:t>
      </w:r>
      <w:r>
        <w:rPr>
          <w:rFonts w:ascii="Times New Roman" w:hAnsi="Times New Roman"/>
          <w:sz w:val="24"/>
        </w:rPr>
        <w:t>] to the special hazards and disadvantages that are characteristic of a seaman’s work.</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To recover for negligence under the Jones Act, under the doctrine of unseaworthiness, or under a claim for maintenance and cure, the plaintiff must be a “seaman” and must satisfy a two-element test. </w:t>
      </w:r>
      <w:r>
        <w:rPr>
          <w:rFonts w:ascii="Times New Roman" w:hAnsi="Times New Roman"/>
          <w:i/>
          <w:sz w:val="24"/>
        </w:rPr>
        <w:t>See Harbor Tug &amp; Barge Co. v. Papai</w:t>
      </w:r>
      <w:r>
        <w:rPr>
          <w:rFonts w:ascii="Times New Roman" w:hAnsi="Times New Roman"/>
          <w:sz w:val="24"/>
        </w:rPr>
        <w:t xml:space="preserve">, 520 U.S. 548, 554 (1997); </w:t>
      </w:r>
      <w:r>
        <w:rPr>
          <w:rFonts w:ascii="Times New Roman" w:hAnsi="Times New Roman"/>
          <w:i/>
          <w:sz w:val="24"/>
        </w:rPr>
        <w:t>Chandris, Inc. v. Latsis</w:t>
      </w:r>
      <w:r>
        <w:rPr>
          <w:rFonts w:ascii="Times New Roman" w:hAnsi="Times New Roman"/>
          <w:sz w:val="24"/>
        </w:rPr>
        <w:t xml:space="preserve">, 515 U.S. 347, 355 (1995); </w:t>
      </w:r>
      <w:r>
        <w:rPr>
          <w:rFonts w:ascii="Times New Roman" w:hAnsi="Times New Roman"/>
          <w:i/>
          <w:sz w:val="24"/>
        </w:rPr>
        <w:t>Gizoni v. Sw. Marine Inc.</w:t>
      </w:r>
      <w:r>
        <w:rPr>
          <w:rFonts w:ascii="Times New Roman" w:hAnsi="Times New Roman"/>
          <w:sz w:val="24"/>
        </w:rPr>
        <w:t xml:space="preserve">, 56 F.3d 1138, 1141 (9th Cir. 1995). The seaman inquiry is a mixed question of law and fact, and when necessary, should be submitted to the jury. </w:t>
      </w:r>
      <w:r>
        <w:rPr>
          <w:rFonts w:ascii="Times New Roman" w:hAnsi="Times New Roman"/>
          <w:i/>
          <w:sz w:val="24"/>
        </w:rPr>
        <w:t>Delange v. Dutra Constr. Co.</w:t>
      </w:r>
      <w:r>
        <w:rPr>
          <w:rFonts w:ascii="Times New Roman" w:hAnsi="Times New Roman"/>
          <w:sz w:val="24"/>
        </w:rPr>
        <w:t xml:space="preserve">, 183 F.3d 916, 919 (9th Cir. 1999). The Jones Act does not define the term “seaman,” and the issue of who is or is not covered by the statute has been repeatedly considered by the Supreme Court since 1991. </w:t>
      </w:r>
      <w:r>
        <w:rPr>
          <w:rFonts w:ascii="Times New Roman" w:hAnsi="Times New Roman"/>
          <w:i/>
          <w:sz w:val="24"/>
        </w:rPr>
        <w:t>See Sw. Marine Inc. v. Gizoni</w:t>
      </w:r>
      <w:r>
        <w:rPr>
          <w:rFonts w:ascii="Times New Roman" w:hAnsi="Times New Roman"/>
          <w:sz w:val="24"/>
        </w:rPr>
        <w:t xml:space="preserve">, 502 U.S. 81 (1991); </w:t>
      </w:r>
      <w:r>
        <w:rPr>
          <w:rFonts w:ascii="Times New Roman" w:hAnsi="Times New Roman"/>
          <w:i/>
          <w:sz w:val="24"/>
        </w:rPr>
        <w:t>McDermott Int’l v. Wilander</w:t>
      </w:r>
      <w:r>
        <w:rPr>
          <w:rFonts w:ascii="Times New Roman" w:hAnsi="Times New Roman"/>
          <w:sz w:val="24"/>
        </w:rPr>
        <w:t>, 498 U.S. 337 (1991).</w:t>
      </w:r>
      <w:r>
        <w:rPr>
          <w:rFonts w:ascii="Times New Roman" w:hAnsi="Times New Roman"/>
          <w:i/>
          <w:sz w:val="24"/>
        </w:rPr>
        <w:t xml:space="preserve"> See also Stewart v. Dutra Constr. Co.</w:t>
      </w:r>
      <w:r>
        <w:rPr>
          <w:rFonts w:ascii="Times New Roman" w:hAnsi="Times New Roman"/>
          <w:sz w:val="24"/>
        </w:rPr>
        <w:t xml:space="preserve">, 543 U.S. 481 (2005); </w:t>
      </w:r>
      <w:r>
        <w:rPr>
          <w:rFonts w:ascii="Times New Roman" w:hAnsi="Times New Roman"/>
          <w:i/>
          <w:sz w:val="24"/>
        </w:rPr>
        <w:t>Papai</w:t>
      </w:r>
      <w:r>
        <w:rPr>
          <w:rFonts w:ascii="Times New Roman" w:hAnsi="Times New Roman"/>
          <w:sz w:val="24"/>
        </w:rPr>
        <w:t xml:space="preserve">, 520 U.S. 548; </w:t>
      </w:r>
      <w:r>
        <w:rPr>
          <w:rFonts w:ascii="Times New Roman" w:hAnsi="Times New Roman"/>
          <w:i/>
          <w:sz w:val="24"/>
        </w:rPr>
        <w:t xml:space="preserve">Chandris, </w:t>
      </w:r>
      <w:r>
        <w:rPr>
          <w:rFonts w:ascii="Times New Roman" w:hAnsi="Times New Roman"/>
          <w:sz w:val="24"/>
        </w:rPr>
        <w:t xml:space="preserve">515 U.S. 347. In defining the prerequisites for Jones Act coverage, the Supreme Court has found it preferable to focus upon the essence of what it means to be a seaman and to reject detailed tests that tend to become ends in and of themselves. “The Jones Act remedy is reserved for sea-based maritime employees whose work regularly exposes them to the special hazards and disadvantages to which they who go down to sea in ships are subjected.” </w:t>
      </w:r>
      <w:r>
        <w:rPr>
          <w:rFonts w:ascii="Times New Roman" w:hAnsi="Times New Roman"/>
          <w:i/>
          <w:sz w:val="24"/>
        </w:rPr>
        <w:t xml:space="preserve">Chandris, </w:t>
      </w:r>
      <w:r>
        <w:rPr>
          <w:rFonts w:ascii="Times New Roman" w:hAnsi="Times New Roman"/>
          <w:sz w:val="24"/>
        </w:rPr>
        <w:t xml:space="preserve">515 U.S. at 369-70. In </w:t>
      </w:r>
      <w:r>
        <w:rPr>
          <w:rFonts w:ascii="Times New Roman" w:hAnsi="Times New Roman"/>
          <w:i/>
          <w:sz w:val="24"/>
        </w:rPr>
        <w:t>Chandris</w:t>
      </w:r>
      <w:r>
        <w:rPr>
          <w:rFonts w:ascii="Times New Roman" w:hAnsi="Times New Roman"/>
          <w:sz w:val="24"/>
        </w:rPr>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Pr>
          <w:rFonts w:ascii="Times New Roman" w:hAnsi="Times New Roman"/>
          <w:i/>
          <w:sz w:val="24"/>
        </w:rPr>
        <w:t xml:space="preserve">Id. </w:t>
      </w:r>
      <w:r>
        <w:rPr>
          <w:rFonts w:ascii="Times New Roman" w:hAnsi="Times New Roman"/>
          <w:sz w:val="24"/>
        </w:rPr>
        <w:t>at 376.</w:t>
      </w:r>
    </w:p>
    <w:p>
      <w:pPr>
        <w:spacing w:after="240"/>
        <w:ind w:firstLine="720"/>
      </w:pPr>
      <w:r>
        <w:rPr>
          <w:rFonts w:ascii="Times New Roman" w:hAnsi="Times New Roman"/>
          <w:sz w:val="24"/>
        </w:rPr>
        <w:t xml:space="preserve">The Supreme Court has cautioned against using a “snapshot” test and admonishes that a plaintiff’s seaman status must be determined in the context of his or her “overall employment” with the defendant employer. </w:t>
      </w:r>
      <w:r>
        <w:rPr>
          <w:rFonts w:ascii="Times New Roman" w:hAnsi="Times New Roman"/>
          <w:i/>
          <w:sz w:val="24"/>
        </w:rPr>
        <w:t xml:space="preserve">Id. </w:t>
      </w:r>
      <w:r>
        <w:rPr>
          <w:rFonts w:ascii="Times New Roman" w:hAnsi="Times New Roman"/>
          <w:sz w:val="24"/>
        </w:rPr>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Pr>
          <w:rFonts w:ascii="Times New Roman" w:hAnsi="Times New Roman"/>
          <w:i/>
          <w:sz w:val="24"/>
        </w:rPr>
        <w:t xml:space="preserve">Id. </w:t>
      </w:r>
      <w:r>
        <w:rPr>
          <w:rFonts w:ascii="Times New Roman" w:hAnsi="Times New Roman"/>
          <w:sz w:val="24"/>
        </w:rPr>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Pr>
          <w:rFonts w:ascii="Times New Roman" w:hAnsi="Times New Roman"/>
          <w:i/>
          <w:sz w:val="24"/>
        </w:rPr>
        <w:t xml:space="preserve">Id. </w:t>
      </w:r>
      <w:r>
        <w:rPr>
          <w:rFonts w:ascii="Times New Roman" w:hAnsi="Times New Roman"/>
          <w:sz w:val="24"/>
        </w:rPr>
        <w:t>at 371.</w:t>
      </w:r>
    </w:p>
    <w:p>
      <w:pPr>
        <w:spacing w:after="240"/>
        <w:ind w:firstLine="720"/>
      </w:pPr>
      <w:r>
        <w:rPr>
          <w:rFonts w:ascii="Times New Roman" w:hAnsi="Times New Roman"/>
          <w:sz w:val="24"/>
        </w:rPr>
        <w:t xml:space="preserve">A plaintiff may be entitled to an instruction on the fleet seaman doctrine if it has some foundation in the evidence. </w:t>
      </w:r>
      <w:r>
        <w:rPr>
          <w:rFonts w:ascii="Times New Roman" w:hAnsi="Times New Roman"/>
          <w:i/>
          <w:sz w:val="24"/>
        </w:rPr>
        <w:t>Gizoni</w:t>
      </w:r>
      <w:r>
        <w:rPr>
          <w:rFonts w:ascii="Times New Roman" w:hAnsi="Times New Roman"/>
          <w:sz w:val="24"/>
        </w:rPr>
        <w:t>, 56 F.3d at 1141 (“Under the fleet doctrine, one can acquire ‘seaman status’ through permanent assignment to a group of vessels under common ownership or control.”).</w:t>
      </w:r>
    </w:p>
    <w:p>
      <w:pPr>
        <w:spacing w:after="240"/>
        <w:ind w:firstLine="720"/>
      </w:pPr>
      <w:r>
        <w:rPr>
          <w:rFonts w:ascii="Times New Roman" w:hAnsi="Times New Roman"/>
          <w:sz w:val="24"/>
        </w:rPr>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