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7.4 Jones Act Negligence Claim—Causation Defined</w:t>
      </w:r>
    </w:p>
    <w:p>
      <w:pPr>
        <w:spacing w:after="240"/>
        <w:ind w:firstLine="720"/>
      </w:pPr>
      <w:r>
        <w:rPr>
          <w:rFonts w:ascii="Times New Roman" w:hAnsi="Times New Roman"/>
          <w:sz w:val="24"/>
        </w:rPr>
        <w:t>Negligence under the Jones Act is a cause of an injury if it played any part, no matter how slight, in bringing about the injury or damage, even if the negligence operated in combination with the acts of another, or in combination with some other cause.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Even the “slightest negligence” is sufficient for a finding of liability. </w:t>
      </w:r>
      <w:r>
        <w:rPr>
          <w:rFonts w:ascii="Times New Roman" w:hAnsi="Times New Roman"/>
          <w:i/>
          <w:sz w:val="24"/>
        </w:rPr>
        <w:t>See Ribitzki v.</w:t>
      </w:r>
    </w:p>
    <w:p>
      <w:pPr>
        <w:spacing w:after="240"/>
        <w:ind w:firstLine="720"/>
      </w:pPr>
      <w:r>
        <w:rPr>
          <w:rFonts w:ascii="Times New Roman" w:hAnsi="Times New Roman"/>
          <w:i/>
          <w:sz w:val="24"/>
        </w:rPr>
        <w:t>Canmar Reading &amp; Bates, Ltd. P’ship</w:t>
      </w:r>
      <w:r>
        <w:rPr>
          <w:rFonts w:ascii="Times New Roman" w:hAnsi="Times New Roman"/>
          <w:sz w:val="24"/>
        </w:rPr>
        <w:t xml:space="preserve">, 111 F.3d 658, 662 (9th Cir. 1997) (citing </w:t>
      </w:r>
      <w:r>
        <w:rPr>
          <w:rFonts w:ascii="Times New Roman" w:hAnsi="Times New Roman"/>
          <w:i/>
          <w:sz w:val="24"/>
        </w:rPr>
        <w:t>Havens v. F/T Polar Mist</w:t>
      </w:r>
      <w:r>
        <w:rPr>
          <w:rFonts w:ascii="Times New Roman" w:hAnsi="Times New Roman"/>
          <w:sz w:val="24"/>
        </w:rPr>
        <w:t xml:space="preserve">, 996 F.2d 215, 218 (9th Cir. 1993)). This test is often described as a “featherweight causation standard” and allows a seaman to survive summary judgment by presenting even the slightest proof of causation. </w:t>
      </w:r>
      <w:r>
        <w:rPr>
          <w:rFonts w:ascii="Times New Roman" w:hAnsi="Times New Roman"/>
          <w:i/>
          <w:sz w:val="24"/>
        </w:rPr>
        <w:t>Ribitzki</w:t>
      </w:r>
      <w:r>
        <w:rPr>
          <w:rFonts w:ascii="Times New Roman" w:hAnsi="Times New Roman"/>
          <w:sz w:val="24"/>
        </w:rPr>
        <w:t>, 111 F.3d at 664.</w:t>
      </w:r>
    </w:p>
    <w:p>
      <w:pPr>
        <w:spacing w:after="240"/>
        <w:ind w:firstLine="720"/>
      </w:pPr>
      <w:r>
        <w:rPr>
          <w:rFonts w:ascii="Times New Roman" w:hAnsi="Times New Roman"/>
          <w:sz w:val="24"/>
        </w:rPr>
        <w:t xml:space="preserve">The causal requirements for Jones Act negligence and under the doctrine of unseaworthiness are different. </w:t>
      </w:r>
      <w:r>
        <w:rPr>
          <w:rFonts w:ascii="Times New Roman" w:hAnsi="Times New Roman"/>
          <w:i/>
          <w:sz w:val="24"/>
        </w:rPr>
        <w:t>See Lies v. Farrell Lines</w:t>
      </w:r>
      <w:r>
        <w:rPr>
          <w:rFonts w:ascii="Times New Roman" w:hAnsi="Times New Roman"/>
          <w:sz w:val="24"/>
        </w:rPr>
        <w:t>, 641 F.2d 765, 769 n.7 (9th Cir. 1981). Separate causation instructions, therefore, will be necessary when both claims for relief are asserted.</w:t>
      </w:r>
    </w:p>
    <w:p>
      <w:pPr>
        <w:spacing w:after="240"/>
        <w:ind w:firstLine="720"/>
      </w:pPr>
      <w:r>
        <w:rPr>
          <w:rFonts w:ascii="Times New Roman" w:hAnsi="Times New Roman"/>
          <w:i/>
          <w:sz w:val="24"/>
        </w:rPr>
        <w:t>Revised March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