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8"/>
        </w:rPr>
        <w:t>7.7 Unseaworthiness—Causation Defined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The definition of causation for the plaintiff's unseaworthiness claim is different from that for the Jones Act negligence claim.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Unseaworthiness is a cause of injury or damage if it was a substantial factor in bringing about injury or damage.</w:t>
      </w:r>
    </w:p>
    <w:p>
      <w:pPr>
        <w:jc w:val="center"/>
      </w:pPr>
      <w:r>
        <w:rPr>
          <w:rFonts w:ascii="Times New Roman" w:hAnsi="Times New Roman"/>
          <w:b/>
          <w:sz w:val="24"/>
        </w:rPr>
        <w:t>Comment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 xml:space="preserve">A different test for causation applies to an unseaworthiness claim as compared to a Jones Act negligence claim. </w:t>
      </w:r>
      <w:r>
        <w:rPr>
          <w:rFonts w:ascii="Times New Roman" w:hAnsi="Times New Roman"/>
          <w:i/>
          <w:sz w:val="24"/>
        </w:rPr>
        <w:t>See Ribitzki v. Canmar Reading &amp; Bates, Ltd. P’ship</w:t>
      </w:r>
      <w:r>
        <w:rPr>
          <w:rFonts w:ascii="Times New Roman" w:hAnsi="Times New Roman"/>
          <w:sz w:val="24"/>
        </w:rPr>
        <w:t xml:space="preserve">, 111 F.3d 658, 665 (9th Cir. 1997) (causation is established for an unseaworthiness claim by showing the condition was a “substantial factor” in causing injury). When both Jones Act negligence and unseaworthiness claims exist, the court should instruct on the causal requirements for each. </w:t>
      </w:r>
      <w:r>
        <w:rPr>
          <w:rFonts w:ascii="Times New Roman" w:hAnsi="Times New Roman"/>
          <w:i/>
          <w:sz w:val="24"/>
        </w:rPr>
        <w:t>See Lies v. Farrell Lines</w:t>
      </w:r>
      <w:r>
        <w:rPr>
          <w:rFonts w:ascii="Times New Roman" w:hAnsi="Times New Roman"/>
          <w:sz w:val="24"/>
        </w:rPr>
        <w:t>, 641 F.2d 765, 769 n.7 (9th Cir. 1981).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