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1.4 What is Not Evidence</w:t>
      </w:r>
    </w:p>
    <w:p>
      <w:pPr>
        <w:spacing w:after="240"/>
        <w:ind w:firstLine="720"/>
      </w:pPr>
      <w:r>
        <w:rPr>
          <w:rFonts w:ascii="Times New Roman" w:hAnsi="Times New Roman"/>
          <w:sz w:val="24"/>
        </w:rPr>
        <w:t xml:space="preserve">The following things are </w:t>
      </w:r>
      <w:r>
        <w:rPr>
          <w:rFonts w:ascii="Times New Roman" w:hAnsi="Times New Roman"/>
          <w:i/>
          <w:sz w:val="24"/>
        </w:rPr>
        <w:t>not</w:t>
      </w:r>
      <w:r>
        <w:rPr>
          <w:rFonts w:ascii="Times New Roman" w:hAnsi="Times New Roman"/>
          <w:sz w:val="24"/>
        </w:rPr>
        <w:t xml:space="preserve"> evidence, and you must not consider them as evidence in deciding the facts of this case:</w:t>
      </w:r>
    </w:p>
    <w:p>
      <w:pPr>
        <w:spacing w:after="240"/>
        <w:ind w:firstLine="720"/>
      </w:pPr>
      <w:r>
        <w:rPr>
          <w:rFonts w:ascii="Times New Roman" w:hAnsi="Times New Roman"/>
          <w:sz w:val="24"/>
        </w:rPr>
        <w:t>&gt; First, statements and arguments of the attorneys;</w:t>
      </w:r>
    </w:p>
    <w:p>
      <w:pPr>
        <w:spacing w:after="240"/>
        <w:ind w:firstLine="720"/>
      </w:pPr>
      <w:r>
        <w:rPr>
          <w:rFonts w:ascii="Times New Roman" w:hAnsi="Times New Roman"/>
          <w:sz w:val="24"/>
        </w:rPr>
        <w:t>&gt; Second</w:t>
        <w:tab/>
        <w:t>, questions and objections of the attorneys;</w:t>
      </w:r>
    </w:p>
    <w:p>
      <w:pPr>
        <w:spacing w:after="240"/>
        <w:ind w:firstLine="720"/>
      </w:pPr>
      <w:r>
        <w:rPr>
          <w:rFonts w:ascii="Times New Roman" w:hAnsi="Times New Roman"/>
          <w:sz w:val="24"/>
        </w:rPr>
        <w:t>&gt; Third, testimony that I instruct you to disregard; and</w:t>
      </w:r>
    </w:p>
    <w:p>
      <w:pPr>
        <w:spacing w:after="240"/>
        <w:ind w:firstLine="720"/>
      </w:pPr>
      <w:r>
        <w:rPr>
          <w:rFonts w:ascii="Times New Roman" w:hAnsi="Times New Roman"/>
          <w:sz w:val="24"/>
        </w:rPr>
        <w:t>Fourth, anything you may see or hear when the court is not in session even if what you see or hear is done or said by one of the parties or by one of the witnesses.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It is advisable to instruct the jury generally about what is not evidence, both as a preliminary instruction at the beginning of the case and as a final instruction at the close of the case. </w:t>
      </w:r>
      <w:r>
        <w:rPr>
          <w:rFonts w:ascii="Times New Roman" w:hAnsi="Times New Roman"/>
          <w:i/>
          <w:sz w:val="24"/>
        </w:rPr>
        <w:t>See</w:t>
      </w:r>
      <w:r>
        <w:rPr>
          <w:rFonts w:ascii="Times New Roman" w:hAnsi="Times New Roman"/>
          <w:sz w:val="24"/>
        </w:rPr>
        <w:t xml:space="preserve"> Instruction 1.6 (Ruling on Objections); Instruction 2.12 (Evidence for Limited Purpose); Instruction 6.7 (What Is Not Evidence).</w:t>
      </w:r>
    </w:p>
    <w:p>
      <w:pPr>
        <w:spacing w:after="240"/>
        <w:ind w:firstLine="720"/>
      </w:pPr>
      <w:r>
        <w:rPr>
          <w:rFonts w:ascii="Times New Roman" w:hAnsi="Times New Roman"/>
          <w:sz w:val="24"/>
        </w:rPr>
        <w:t xml:space="preserve">But these general instructions are unlikely to be sufficient when a prompt and specific curative instruction from the court is needed. </w:t>
      </w:r>
      <w:r>
        <w:rPr>
          <w:rFonts w:ascii="Times New Roman" w:hAnsi="Times New Roman"/>
          <w:i/>
          <w:sz w:val="24"/>
        </w:rPr>
        <w:t>See generally United States v. Barragan</w:t>
      </w:r>
      <w:r>
        <w:rPr>
          <w:rFonts w:ascii="Times New Roman" w:hAnsi="Times New Roman"/>
          <w:sz w:val="24"/>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Pr>
          <w:rFonts w:ascii="Times New Roman" w:hAnsi="Times New Roman"/>
          <w:smallCaps/>
          <w:sz w:val="24"/>
        </w:rPr>
        <w:t>Jury Instructions Committee of the Ninth Circuit</w:t>
      </w:r>
      <w:r>
        <w:rPr>
          <w:rFonts w:ascii="Times New Roman" w:hAnsi="Times New Roman"/>
          <w:sz w:val="24"/>
        </w:rPr>
        <w:t xml:space="preserve">, </w:t>
      </w:r>
      <w:r>
        <w:rPr>
          <w:rFonts w:ascii="Times New Roman" w:hAnsi="Times New Roman"/>
          <w:smallCaps/>
          <w:sz w:val="24"/>
        </w:rPr>
        <w:t xml:space="preserve">A Manual on Jury Trial Procedures § </w:t>
      </w:r>
      <w:r>
        <w:rPr>
          <w:rFonts w:ascii="Times New Roman" w:hAnsi="Times New Roman"/>
          <w:sz w:val="24"/>
        </w:rPr>
        <w:t xml:space="preserve">3.16 (2013). Thus, a curative instruction should be given immediately after the damage is done and refer to the specific statement or statements that the jury must disregard. </w:t>
      </w:r>
      <w:r>
        <w:rPr>
          <w:rFonts w:ascii="Times New Roman" w:hAnsi="Times New Roman"/>
          <w:i/>
          <w:sz w:val="24"/>
        </w:rPr>
        <w:t>See also United States v. Wells</w:t>
      </w:r>
      <w:r>
        <w:rPr>
          <w:rFonts w:ascii="Times New Roman" w:hAnsi="Times New Roman"/>
          <w:sz w:val="24"/>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pPr>
        <w:spacing w:after="240"/>
        <w:ind w:firstLine="720"/>
      </w:pPr>
      <w:r>
        <w:rPr>
          <w:rFonts w:ascii="Times New Roman" w:hAnsi="Times New Roman"/>
          <w:i/>
          <w:sz w:val="24"/>
        </w:rPr>
        <w:t>Revised Sept.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