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1.6 Ruling on Objections</w:t>
      </w:r>
    </w:p>
    <w:p>
      <w:pPr>
        <w:spacing w:after="240"/>
        <w:ind w:firstLine="720"/>
      </w:pPr>
      <w:r>
        <w:rPr>
          <w:rFonts w:ascii="Times New Roman" w:hAnsi="Times New Roman"/>
          <w:sz w:val="24"/>
        </w:rPr>
        <w:t>There are rules of evidence that control what can be received in evidence. When a lawyer asks a question or offers an exhibit in evidence and a lawyer on the other side thinks that it is not permitted by the rules of evidence, that lawyer may object. If I overrule the objection, the question may be answered or the exhibit received. If I sustain the objection, the question cannot be answered, or the exhibit cannot be received. Whenever I sustain an objection to a question, you must ignore the question and must not guess what the answer would have been.</w:t>
      </w:r>
    </w:p>
    <w:p>
      <w:pPr>
        <w:spacing w:after="240"/>
        <w:ind w:firstLine="720"/>
      </w:pPr>
      <w:r>
        <w:rPr>
          <w:rFonts w:ascii="Times New Roman" w:hAnsi="Times New Roman"/>
          <w:sz w:val="24"/>
        </w:rPr>
        <w:t>Sometimes I may order that evidence be stricken from the record and that you disregard or ignore the evidence. That means that when you are deciding the case, you must not consider the evidence that I told you to disregard.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