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1.9 No Transcript Available to Jury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At the end of the trial, you will have to make your decision based on what you recall of the evidence. You will not have a written transcript of the trial. I urge you to pay close attention to the testimony as it is given.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For further discussion, </w:t>
      </w:r>
      <w:r>
        <w:rPr>
          <w:rFonts w:ascii="Times New Roman" w:hAnsi="Times New Roman"/>
          <w:i/>
          <w:sz w:val="24"/>
        </w:rPr>
        <w:t>see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Jury Instructions Committee of the Ninth Circuit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mallCaps/>
          <w:sz w:val="24"/>
        </w:rPr>
        <w:t>A Manual on Jury Trial Procedures § 5.1.C</w:t>
      </w:r>
      <w:r>
        <w:rPr>
          <w:rFonts w:ascii="Times New Roman" w:hAnsi="Times New Roman"/>
          <w:sz w:val="24"/>
        </w:rPr>
        <w:t xml:space="preserve"> (2013).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Sept. 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