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11.1 Conspiracy—Elements</w:t>
      </w:r>
    </w:p>
    <w:p>
      <w:pPr>
        <w:spacing w:after="240"/>
        <w:ind w:firstLine="720"/>
      </w:pPr>
      <w:r>
        <w:rPr>
          <w:rFonts w:ascii="Times New Roman" w:hAnsi="Times New Roman"/>
          <w:sz w:val="24"/>
        </w:rPr>
        <w:t xml:space="preserve">The defendant is charged in [Count _______ of] the indictment with conspiring to [_______] in violation of [Section </w:t>
      </w:r>
      <w:r>
        <w:rPr>
          <w:rFonts w:ascii="Times New Roman" w:hAnsi="Times New Roman"/>
          <w:sz w:val="24"/>
          <w:u w:val="single"/>
        </w:rPr>
        <w:t>_______]</w:t>
      </w:r>
      <w:r>
        <w:rPr>
          <w:rFonts w:ascii="Times New Roman" w:hAnsi="Times New Roman"/>
          <w:sz w:val="24"/>
        </w:rPr>
        <w:t xml:space="preserve"> of [Title </w:t>
      </w:r>
      <w:r>
        <w:rPr>
          <w:rFonts w:ascii="Times New Roman" w:hAnsi="Times New Roman"/>
          <w:sz w:val="24"/>
          <w:u w:val="single"/>
        </w:rPr>
        <w:t>___]</w:t>
      </w:r>
      <w:r>
        <w:rPr>
          <w:rFonts w:ascii="Times New Roman" w:hAnsi="Times New Roman"/>
          <w:sz w:val="24"/>
        </w:rPr>
        <w:t xml:space="preserve">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beginning on or about [</w:t>
      </w:r>
      <w:r>
        <w:rPr>
          <w:rFonts w:ascii="Times New Roman" w:hAnsi="Times New Roman"/>
          <w:i/>
          <w:sz w:val="24"/>
          <w:u w:val="single"/>
        </w:rPr>
        <w:t>date</w:t>
      </w:r>
      <w:r>
        <w:rPr>
          <w:rFonts w:ascii="Times New Roman" w:hAnsi="Times New Roman"/>
          <w:sz w:val="24"/>
        </w:rPr>
        <w:t>], and ending on or about [</w:t>
      </w:r>
      <w:r>
        <w:rPr>
          <w:rFonts w:ascii="Times New Roman" w:hAnsi="Times New Roman"/>
          <w:i/>
          <w:sz w:val="24"/>
          <w:u w:val="single"/>
        </w:rPr>
        <w:t>date</w:t>
      </w:r>
      <w:r>
        <w:rPr>
          <w:rFonts w:ascii="Times New Roman" w:hAnsi="Times New Roman"/>
          <w:sz w:val="24"/>
        </w:rPr>
        <w:t>], there was an agreement between two or more persons to commit at least one crime as charged in the indictment; [and]</w:t>
      </w:r>
    </w:p>
    <w:p>
      <w:pPr>
        <w:spacing w:after="240"/>
        <w:ind w:firstLine="720"/>
      </w:pPr>
      <w:r>
        <w:rPr>
          <w:rFonts w:ascii="Times New Roman" w:hAnsi="Times New Roman"/>
          <w:sz w:val="24"/>
        </w:rPr>
        <w:t>Second, the defendant became a member of the conspiracy knowing of at least one of its objects and intending to help accomplish it[.] [; and]</w:t>
      </w:r>
    </w:p>
    <w:p>
      <w:pPr>
        <w:spacing w:after="240"/>
        <w:ind w:firstLine="720"/>
      </w:pPr>
      <w:r>
        <w:rPr>
          <w:rFonts w:ascii="Times New Roman" w:hAnsi="Times New Roman"/>
          <w:sz w:val="24"/>
        </w:rPr>
        <w:t>[Third, one of the members of the conspiracy performed at least one overt act [on or after [</w:t>
      </w:r>
      <w:r>
        <w:rPr>
          <w:rFonts w:ascii="Times New Roman" w:hAnsi="Times New Roman"/>
          <w:i/>
          <w:sz w:val="24"/>
        </w:rPr>
        <w:t>date</w:t>
      </w:r>
      <w:r>
        <w:rPr>
          <w:rFonts w:ascii="Times New Roman" w:hAnsi="Times New Roman"/>
          <w:sz w:val="24"/>
        </w:rPr>
        <w:t>]] for the purpose of carrying out the conspiracy.]</w:t>
      </w:r>
    </w:p>
    <w:p>
      <w:pPr>
        <w:spacing w:after="240"/>
        <w:ind w:firstLine="720"/>
      </w:pPr>
      <w:r>
        <w:rPr>
          <w:rFonts w:ascii="Times New Roman" w:hAnsi="Times New Roman"/>
          <w:sz w:val="24"/>
        </w:rPr>
        <w:t>A conspiracy is a kind of criminal partnership—an agreement of two or more persons to commit one or more crimes. The crime of conspiracy is the agreement to do something unlawful; it does not matter whether the crime agreed upon was committed.</w:t>
      </w:r>
    </w:p>
    <w:p>
      <w:pPr>
        <w:spacing w:after="240"/>
        <w:ind w:firstLine="720"/>
      </w:pPr>
      <w:r>
        <w:rPr>
          <w:rFonts w:ascii="Times New Roman" w:hAnsi="Times New Roman"/>
          <w:sz w:val="24"/>
        </w:rPr>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of the conspiracy with all of you agreeing as to the particular crime which the conspirators agreed to commit.</w:t>
      </w:r>
    </w:p>
    <w:p>
      <w:pPr>
        <w:spacing w:after="240"/>
        <w:ind w:firstLine="720"/>
      </w:pPr>
      <w:r>
        <w:rPr>
          <w:rFonts w:ascii="Times New Roman" w:hAnsi="Times New Roman"/>
          <w:sz w:val="24"/>
        </w:rPr>
        <w:t>One becomes a member of a conspiracy by knowingly participating in the unlawful plan with the intent to advance or further some object or purpose of the conspiracy, even though the person does not have full knowledge of all the details of the conspiracy. Furthermore, one who knowingly 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pPr>
        <w:spacing w:after="240"/>
        <w:ind w:firstLine="720"/>
      </w:pPr>
      <w:r>
        <w:rPr>
          <w:rFonts w:ascii="Times New Roman" w:hAnsi="Times New Roman"/>
          <w:sz w:val="24"/>
        </w:rPr>
        <w:t>[An overt act does not itself have to be unlawful. A lawful act may be an element of a conspiracy if it was done for the purpose of carrying out the conspiracy. The government is not required to prove that the defendant personally did one of the overt acts.]</w:t>
      </w:r>
    </w:p>
    <w:p>
      <w:pPr>
        <w:jc w:val="center"/>
      </w:pPr>
      <w:r>
        <w:rPr>
          <w:rFonts w:ascii="Times New Roman" w:hAnsi="Times New Roman"/>
          <w:b/>
          <w:sz w:val="24"/>
        </w:rPr>
        <w:t>Comment</w:t>
      </w:r>
    </w:p>
    <w:p>
      <w:pPr>
        <w:spacing w:after="240"/>
        <w:ind w:firstLine="720"/>
      </w:pPr>
      <w:r>
        <w:rPr>
          <w:rFonts w:ascii="Times New Roman" w:hAnsi="Times New Roman"/>
          <w:sz w:val="24"/>
        </w:rPr>
        <w:t>When the charged offense is conspiracy to defraud the United States (or any agency thereof) under the “defraud clause” of 18 U.S.C. § 371, use Instruction 11.2 (Conspiracy to Defraud the United States) in place of this general conspiracy instruction. When the charged offense is conspiracy to distribute or manufacture a controlled substance pursuant to 21 U.S.C.</w:t>
      </w:r>
    </w:p>
    <w:p>
      <w:pPr>
        <w:spacing w:after="240"/>
        <w:ind w:firstLine="720"/>
      </w:pPr>
      <w:r>
        <w:rPr>
          <w:rFonts w:ascii="Times New Roman" w:hAnsi="Times New Roman"/>
          <w:sz w:val="24"/>
        </w:rPr>
        <w:t>§§ 841(a), 846, use Instruction 12.5 (Controlled Substance—Conspiracy to Distribute or</w:t>
      </w:r>
    </w:p>
    <w:p>
      <w:pPr>
        <w:spacing w:after="240"/>
        <w:ind w:firstLine="720"/>
      </w:pPr>
      <w:r>
        <w:rPr>
          <w:rFonts w:ascii="Times New Roman" w:hAnsi="Times New Roman"/>
          <w:sz w:val="24"/>
        </w:rPr>
        <w:t>Manufacture).</w:t>
      </w:r>
    </w:p>
    <w:p>
      <w:pPr>
        <w:spacing w:after="240"/>
        <w:ind w:firstLine="720"/>
      </w:pPr>
      <w:r>
        <w:rPr>
          <w:rFonts w:ascii="Times New Roman" w:hAnsi="Times New Roman"/>
          <w:sz w:val="24"/>
        </w:rPr>
        <w:t xml:space="preserve">With respect to the first element in this instruction, if other jury instructions do not set out the elements of the crimes alleged to be objects of the conspiracy, the elements must be included in this or an accompanying instruction. </w:t>
      </w:r>
      <w:r>
        <w:rPr>
          <w:rFonts w:ascii="Times New Roman" w:hAnsi="Times New Roman"/>
          <w:i/>
          <w:sz w:val="24"/>
        </w:rPr>
        <w:t>United States v. Alghazouli</w:t>
      </w:r>
      <w:r>
        <w:rPr>
          <w:rFonts w:ascii="Times New Roman" w:hAnsi="Times New Roman"/>
          <w:sz w:val="24"/>
        </w:rPr>
        <w:t xml:space="preserve">, 517 F.3d 1179, 1189 (9th Cir. 2008). Nevertheless, conspiracy to commit a crime “does not require completion of the intended underlying offense.” </w:t>
      </w:r>
      <w:r>
        <w:rPr>
          <w:rFonts w:ascii="Times New Roman" w:hAnsi="Times New Roman"/>
          <w:i/>
          <w:sz w:val="24"/>
        </w:rPr>
        <w:t>United States v. Iribe</w:t>
      </w:r>
      <w:r>
        <w:rPr>
          <w:rFonts w:ascii="Times New Roman" w:hAnsi="Times New Roman"/>
          <w:sz w:val="24"/>
        </w:rPr>
        <w:t>, 564 F.3d 1155, 1160-61 (9th Cir. 2009).</w:t>
      </w:r>
    </w:p>
    <w:p>
      <w:pPr>
        <w:spacing w:after="240"/>
        <w:ind w:firstLine="720"/>
      </w:pPr>
      <w:r>
        <w:rPr>
          <w:rFonts w:ascii="Times New Roman" w:hAnsi="Times New Roman"/>
          <w:sz w:val="24"/>
        </w:rPr>
        <w:t xml:space="preserve">To prove an agreement to commit a crime, it is not sufficient for the government to prove that the defendant committed the crime in question. It must prove that the defendant agreed with at least one other person to commit that crime. </w:t>
      </w:r>
      <w:r>
        <w:rPr>
          <w:rFonts w:ascii="Times New Roman" w:hAnsi="Times New Roman"/>
          <w:i/>
          <w:sz w:val="24"/>
        </w:rPr>
        <w:t>United States v. Loveland</w:t>
      </w:r>
      <w:r>
        <w:rPr>
          <w:rFonts w:ascii="Times New Roman" w:hAnsi="Times New Roman"/>
          <w:sz w:val="24"/>
        </w:rPr>
        <w:t xml:space="preserve">, 825 F.3d 555 (9th Cir. 2016). “The agreement need not be explicit; it is sufficient if the conspirators knew or had reason to know of the scope of the conspiracy and that their own benefits depended on the success of the venture.” </w:t>
      </w:r>
      <w:r>
        <w:rPr>
          <w:rFonts w:ascii="Times New Roman" w:hAnsi="Times New Roman"/>
          <w:i/>
          <w:sz w:val="24"/>
        </w:rPr>
        <w:t>United States v. Montgomery</w:t>
      </w:r>
      <w:r>
        <w:rPr>
          <w:rFonts w:ascii="Times New Roman" w:hAnsi="Times New Roman"/>
          <w:sz w:val="24"/>
        </w:rPr>
        <w:t xml:space="preserve">, 384 F.3d 1050, 1062 (9th Cir. 2004) (citing </w:t>
      </w:r>
      <w:r>
        <w:rPr>
          <w:rFonts w:ascii="Times New Roman" w:hAnsi="Times New Roman"/>
          <w:i/>
          <w:sz w:val="24"/>
        </w:rPr>
        <w:t>United States v. Romero,</w:t>
      </w:r>
      <w:r>
        <w:rPr>
          <w:rFonts w:ascii="Times New Roman" w:hAnsi="Times New Roman"/>
          <w:sz w:val="24"/>
        </w:rPr>
        <w:t xml:space="preserve"> 282 F.3d 683, 687 (9th Cir. 2002)). “An agreement to commit a crime can be explicit or tacit, and can be proved by direct or circumstantial evidence, including inferences from circumstantial evidence.” </w:t>
      </w:r>
      <w:r>
        <w:rPr>
          <w:rFonts w:ascii="Times New Roman" w:hAnsi="Times New Roman"/>
          <w:i/>
          <w:sz w:val="24"/>
        </w:rPr>
        <w:t>United States v. Kaplan</w:t>
      </w:r>
      <w:r>
        <w:rPr>
          <w:rFonts w:ascii="Times New Roman" w:hAnsi="Times New Roman"/>
          <w:sz w:val="24"/>
        </w:rPr>
        <w:t xml:space="preserve">, 836 F.3d, 1199 (9th Cir. 2016)  (quotation marks and citation omitted). </w:t>
      </w:r>
      <w:r>
        <w:rPr>
          <w:rFonts w:ascii="Times New Roman" w:hAnsi="Times New Roman"/>
          <w:i/>
          <w:sz w:val="24"/>
        </w:rPr>
        <w:t>See also United States v. Gonzalez</w:t>
      </w:r>
      <w:r>
        <w:rPr>
          <w:rFonts w:ascii="Times New Roman" w:hAnsi="Times New Roman"/>
          <w:sz w:val="24"/>
        </w:rPr>
        <w:t xml:space="preserve">, 906 F.3d 784, 792 (9th Cir. 2018) (noting that tacit agreement is sufficient for conspiracy conviction). A conspiracy may exist even if some members of the conspiracy cannot complete the offense, so long as the object of the conspiracy is that at least one conspirator complete the offense. </w:t>
      </w:r>
      <w:r>
        <w:rPr>
          <w:rFonts w:ascii="Times New Roman" w:hAnsi="Times New Roman"/>
          <w:i/>
          <w:sz w:val="24"/>
        </w:rPr>
        <w:t>Ocasio v. United States</w:t>
      </w:r>
      <w:r>
        <w:rPr>
          <w:rFonts w:ascii="Times New Roman" w:hAnsi="Times New Roman"/>
          <w:sz w:val="24"/>
        </w:rPr>
        <w:t xml:space="preserve">, 578 U.S. 282, 287-92 (2016). A defendant who conspires only with a government agent is not guilty of conspiracy; however, a conspiracy conviction is permitted if at least one co-conspirator is not a government agent. </w:t>
      </w:r>
      <w:r>
        <w:rPr>
          <w:rFonts w:ascii="Times New Roman" w:hAnsi="Times New Roman"/>
          <w:i/>
          <w:sz w:val="24"/>
        </w:rPr>
        <w:t>United States v. Barragan</w:t>
      </w:r>
      <w:r>
        <w:rPr>
          <w:rFonts w:ascii="Times New Roman" w:hAnsi="Times New Roman"/>
          <w:sz w:val="24"/>
        </w:rPr>
        <w:t xml:space="preserve">, 871 F.3d 689, 710-11 (9th Cir. 2017); </w:t>
      </w:r>
      <w:r>
        <w:rPr>
          <w:rFonts w:ascii="Times New Roman" w:hAnsi="Times New Roman"/>
          <w:i/>
          <w:sz w:val="24"/>
        </w:rPr>
        <w:t xml:space="preserve">see also </w:t>
      </w:r>
      <w:r>
        <w:rPr>
          <w:rFonts w:ascii="Times New Roman" w:hAnsi="Times New Roman"/>
          <w:sz w:val="24"/>
        </w:rPr>
        <w:t>Instruction 11.7 (Conspiracy—</w:t>
      </w:r>
      <w:r>
        <w:rPr>
          <w:rFonts w:ascii="Times New Roman" w:hAnsi="Times New Roman"/>
          <w:i/>
          <w:sz w:val="24"/>
        </w:rPr>
        <w:t>Sears</w:t>
      </w:r>
      <w:r>
        <w:rPr>
          <w:rFonts w:ascii="Times New Roman" w:hAnsi="Times New Roman"/>
          <w:sz w:val="24"/>
        </w:rPr>
        <w:t xml:space="preserve"> Charge).</w:t>
      </w:r>
    </w:p>
    <w:p>
      <w:pPr>
        <w:spacing w:after="240"/>
        <w:ind w:firstLine="720"/>
      </w:pPr>
      <w:r>
        <w:rPr>
          <w:rFonts w:ascii="Times New Roman" w:hAnsi="Times New Roman"/>
          <w:sz w:val="24"/>
        </w:rPr>
        <w:t xml:space="preserve">Use the third element in this instruction only if the applicable statute requires proof of an overt act, </w:t>
      </w:r>
      <w:r>
        <w:rPr>
          <w:rFonts w:ascii="Times New Roman" w:hAnsi="Times New Roman"/>
          <w:i/>
          <w:sz w:val="24"/>
        </w:rPr>
        <w:t>e.g.</w:t>
      </w:r>
      <w:r>
        <w:rPr>
          <w:rFonts w:ascii="Times New Roman" w:hAnsi="Times New Roman"/>
          <w:sz w:val="24"/>
        </w:rPr>
        <w:t xml:space="preserve">, 18 U.S.C. § 371 (first clause) or 18 U.S.C. § 1511(a) (conspiracy to obstruct state or local law enforcement) but omit the third element when the applicable statute does not require proof of an overt act. </w:t>
      </w:r>
      <w:r>
        <w:rPr>
          <w:rFonts w:ascii="Times New Roman" w:hAnsi="Times New Roman"/>
          <w:i/>
          <w:sz w:val="24"/>
        </w:rPr>
        <w:t>See Whitfield v. United States</w:t>
      </w:r>
      <w:r>
        <w:rPr>
          <w:rFonts w:ascii="Times New Roman" w:hAnsi="Times New Roman"/>
          <w:sz w:val="24"/>
        </w:rPr>
        <w:t xml:space="preserve">, 543 U.S. 209, 212-15 (2005) (proof of overt act not necessary for conspiracy to commit money laundering); </w:t>
      </w:r>
      <w:r>
        <w:rPr>
          <w:rFonts w:ascii="Times New Roman" w:hAnsi="Times New Roman"/>
          <w:i/>
          <w:sz w:val="24"/>
        </w:rPr>
        <w:t>United States v. Shabani</w:t>
      </w:r>
      <w:r>
        <w:rPr>
          <w:rFonts w:ascii="Times New Roman" w:hAnsi="Times New Roman"/>
          <w:sz w:val="24"/>
        </w:rPr>
        <w:t xml:space="preserve">, 513 U.S. 10, 15-16 (1994) (proof of overt act not necessary for conspiracy to violate drug statutes); </w:t>
      </w:r>
      <w:r>
        <w:rPr>
          <w:rFonts w:ascii="Times New Roman" w:hAnsi="Times New Roman"/>
          <w:i/>
          <w:sz w:val="24"/>
        </w:rPr>
        <w:t>Gonzalez</w:t>
      </w:r>
      <w:r>
        <w:rPr>
          <w:rFonts w:ascii="Times New Roman" w:hAnsi="Times New Roman"/>
          <w:sz w:val="24"/>
        </w:rPr>
        <w:t>, 906 F.3d at 792 (noting that proof of overt act is not necessary for conspiracy to violate civil rights).</w:t>
      </w:r>
    </w:p>
    <w:p>
      <w:pPr>
        <w:spacing w:after="240"/>
        <w:ind w:firstLine="720"/>
      </w:pPr>
      <w:r>
        <w:rPr>
          <w:rFonts w:ascii="Times New Roman" w:hAnsi="Times New Roman"/>
          <w:sz w:val="24"/>
        </w:rPr>
        <w:t xml:space="preserve">As long as jurors agree that the government has proven each element of a conspiracy, they need not unanimously agree on the particular overt act that was committed in furtherance of the agreed-upon conspiracy. </w:t>
      </w:r>
      <w:r>
        <w:rPr>
          <w:rFonts w:ascii="Times New Roman" w:hAnsi="Times New Roman"/>
          <w:i/>
          <w:sz w:val="24"/>
        </w:rPr>
        <w:t>See United States v. Gonzalez</w:t>
      </w:r>
      <w:r>
        <w:rPr>
          <w:rFonts w:ascii="Times New Roman" w:hAnsi="Times New Roman"/>
          <w:sz w:val="24"/>
        </w:rPr>
        <w:t>, 786 F.3d 714, 718-19 (9th Cir. 2015) (rejecting defendant’s argument that district court erred in failing to instruct jury that it must unanimously agree on which acts constituted conspiracy to murder underlying a VICAR charge).</w:t>
      </w:r>
    </w:p>
    <w:p>
      <w:pPr>
        <w:spacing w:after="240"/>
        <w:ind w:firstLine="720"/>
      </w:pPr>
      <w:r>
        <w:rPr>
          <w:rFonts w:ascii="Times New Roman" w:hAnsi="Times New Roman"/>
          <w:sz w:val="24"/>
        </w:rPr>
        <w:t xml:space="preserve">When there is evidence that an overt act occurred outside the applicable limitations period, include the bracketed material within the third element. </w:t>
      </w:r>
      <w:r>
        <w:rPr>
          <w:rFonts w:ascii="Times New Roman" w:hAnsi="Times New Roman"/>
          <w:i/>
          <w:sz w:val="24"/>
        </w:rPr>
        <w:t>See United States v. Fuchs</w:t>
      </w:r>
      <w:r>
        <w:rPr>
          <w:rFonts w:ascii="Times New Roman" w:hAnsi="Times New Roman"/>
          <w:sz w:val="24"/>
        </w:rPr>
        <w:t>, 218 F.3d 957, 961-62 (9th Cir. 2000) (plain error not to require jury to find that overt act occurred within statute of limitations).</w:t>
      </w:r>
    </w:p>
    <w:p>
      <w:pPr>
        <w:spacing w:after="240"/>
        <w:ind w:firstLine="720"/>
      </w:pPr>
      <w:r>
        <w:rPr>
          <w:rFonts w:ascii="Times New Roman" w:hAnsi="Times New Roman"/>
          <w:i/>
          <w:sz w:val="24"/>
        </w:rPr>
        <w:t>See</w:t>
      </w:r>
      <w:r>
        <w:rPr>
          <w:rFonts w:ascii="Times New Roman" w:hAnsi="Times New Roman"/>
          <w:sz w:val="24"/>
        </w:rPr>
        <w:t xml:space="preserve"> Instruction 6.27 (Specific Issue Unanimity). When the evidence establishes multiple conspiracies, failure to give a specific unanimity instruction may be plain error and the court may have a duty to </w:t>
      </w:r>
      <w:r>
        <w:rPr>
          <w:rFonts w:ascii="Times New Roman" w:hAnsi="Times New Roman"/>
          <w:i/>
          <w:sz w:val="24"/>
        </w:rPr>
        <w:t>sua sponte</w:t>
      </w:r>
      <w:r>
        <w:rPr>
          <w:rFonts w:ascii="Times New Roman" w:hAnsi="Times New Roman"/>
          <w:sz w:val="24"/>
        </w:rPr>
        <w:t xml:space="preserve"> give the instruction requiring the jurors to unanimously agree on which conspiracy the defendant participated in. </w:t>
      </w:r>
      <w:r>
        <w:rPr>
          <w:rFonts w:ascii="Times New Roman" w:hAnsi="Times New Roman"/>
          <w:i/>
          <w:sz w:val="24"/>
        </w:rPr>
        <w:t>United States v. Lapier</w:t>
      </w:r>
      <w:r>
        <w:rPr>
          <w:rFonts w:ascii="Times New Roman" w:hAnsi="Times New Roman"/>
          <w:sz w:val="24"/>
        </w:rPr>
        <w:t>,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w:t>
      </w:r>
    </w:p>
    <w:p>
      <w:pPr>
        <w:spacing w:after="240"/>
        <w:ind w:firstLine="720"/>
      </w:pPr>
      <w:r>
        <w:rPr>
          <w:rFonts w:ascii="Times New Roman" w:hAnsi="Times New Roman"/>
          <w:sz w:val="24"/>
        </w:rPr>
        <w:t xml:space="preserve">The Supreme Court has held that “[a] conspiracy does not automatically terminate simply because the Government, unbeknownst to some of the conspirators, has ‘defeated’ the conspiracy’s ‘object’.” </w:t>
      </w:r>
      <w:r>
        <w:rPr>
          <w:rFonts w:ascii="Times New Roman" w:hAnsi="Times New Roman"/>
          <w:i/>
          <w:sz w:val="24"/>
        </w:rPr>
        <w:t>United States v. Jimenez Recio</w:t>
      </w:r>
      <w:r>
        <w:rPr>
          <w:rFonts w:ascii="Times New Roman" w:hAnsi="Times New Roman"/>
          <w:sz w:val="24"/>
        </w:rPr>
        <w:t>, 537 U.S. 270, 274 (2003).</w:t>
      </w:r>
    </w:p>
    <w:p>
      <w:pPr>
        <w:spacing w:after="240"/>
        <w:ind w:firstLine="720"/>
      </w:pPr>
      <w:r>
        <w:rPr>
          <w:rFonts w:ascii="Times New Roman" w:hAnsi="Times New Roman"/>
          <w:i/>
          <w:sz w:val="24"/>
        </w:rPr>
        <w:t xml:space="preserve">See </w:t>
      </w:r>
      <w:r>
        <w:rPr>
          <w:rFonts w:ascii="Times New Roman" w:hAnsi="Times New Roman"/>
          <w:sz w:val="24"/>
        </w:rPr>
        <w:t>Instruction 4.8 (Knowingly).</w:t>
      </w:r>
    </w:p>
    <w:p>
      <w:pPr>
        <w:spacing w:after="240"/>
        <w:ind w:firstLine="720"/>
      </w:pPr>
      <w:r>
        <w:rPr>
          <w:rFonts w:ascii="Times New Roman" w:hAnsi="Times New Roman"/>
          <w:i/>
          <w:sz w:val="24"/>
        </w:rPr>
        <w:t>Revised June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