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13.5 Uttering or Publishing False Writing (18 U.S.C. § 495)</w:t>
      </w:r>
    </w:p>
    <w:p>
      <w:pPr>
        <w:spacing w:after="240"/>
        <w:ind w:firstLine="720"/>
      </w:pPr>
      <w:r>
        <w:rPr>
          <w:rFonts w:ascii="Times New Roman" w:hAnsi="Times New Roman"/>
          <w:sz w:val="24"/>
        </w:rPr>
        <w:t>The defendant is charged in [Count _______ of] the indictment with [uttering] [publishing] as true a false writing with the intent to defraud the United States in violation of Section 495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[uttered] [published] as true a [falsely made] [altered] [forged] [counterfeit] [</w:t>
      </w:r>
      <w:r>
        <w:rPr>
          <w:rFonts w:ascii="Times New Roman" w:hAnsi="Times New Roman"/>
          <w:i/>
          <w:sz w:val="24"/>
          <w:u w:val="single"/>
        </w:rPr>
        <w:t>specify writing</w:t>
      </w:r>
      <w:r>
        <w:rPr>
          <w:rFonts w:ascii="Times New Roman" w:hAnsi="Times New Roman"/>
          <w:sz w:val="24"/>
        </w:rPr>
        <w:t>];</w:t>
      </w:r>
    </w:p>
    <w:p>
      <w:pPr>
        <w:spacing w:after="240"/>
        <w:ind w:firstLine="720"/>
      </w:pPr>
      <w:r>
        <w:rPr>
          <w:rFonts w:ascii="Times New Roman" w:hAnsi="Times New Roman"/>
          <w:sz w:val="24"/>
        </w:rPr>
        <w:t>Second, the defendant knew that the [</w:t>
      </w:r>
      <w:r>
        <w:rPr>
          <w:rFonts w:ascii="Times New Roman" w:hAnsi="Times New Roman"/>
          <w:i/>
          <w:sz w:val="24"/>
          <w:u w:val="single"/>
        </w:rPr>
        <w:t>specify writing</w:t>
      </w:r>
      <w:r>
        <w:rPr>
          <w:rFonts w:ascii="Times New Roman" w:hAnsi="Times New Roman"/>
          <w:sz w:val="24"/>
        </w:rPr>
        <w:t>] was [falsely made] [altered] [forged] [counterfeited]; and</w:t>
      </w:r>
    </w:p>
    <w:p>
      <w:pPr>
        <w:spacing w:after="240"/>
        <w:ind w:firstLine="720"/>
      </w:pPr>
      <w:r>
        <w:rPr>
          <w:rFonts w:ascii="Times New Roman" w:hAnsi="Times New Roman"/>
          <w:sz w:val="24"/>
        </w:rPr>
        <w:t>Third, the defendant acted with the intent to defraud the United States.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For a definition of “intent to defraud,” </w:t>
      </w:r>
      <w:r>
        <w:rPr>
          <w:rFonts w:ascii="Times New Roman" w:hAnsi="Times New Roman"/>
          <w:i/>
          <w:sz w:val="24"/>
        </w:rPr>
        <w:t>see</w:t>
      </w:r>
      <w:r>
        <w:rPr>
          <w:rFonts w:ascii="Times New Roman" w:hAnsi="Times New Roman"/>
          <w:sz w:val="24"/>
        </w:rPr>
        <w:t xml:space="preserve"> Instruction 4.13 (Intent to Defraud).</w:t>
      </w:r>
    </w:p>
    <w:p>
      <w:pPr>
        <w:spacing w:after="240"/>
        <w:ind w:firstLine="720"/>
      </w:pPr>
      <w:r>
        <w:rPr>
          <w:rFonts w:ascii="Times New Roman" w:hAnsi="Times New Roman"/>
          <w:sz w:val="24"/>
        </w:rPr>
        <w:t xml:space="preserve">An utterance has been described as “tantamount to an offer.” </w:t>
      </w:r>
      <w:r>
        <w:rPr>
          <w:rFonts w:ascii="Times New Roman" w:hAnsi="Times New Roman"/>
          <w:i/>
          <w:sz w:val="24"/>
        </w:rPr>
        <w:t>United States v. Chang</w:t>
      </w:r>
      <w:r>
        <w:rPr>
          <w:rFonts w:ascii="Times New Roman" w:hAnsi="Times New Roman"/>
          <w:sz w:val="24"/>
        </w:rPr>
        <w:t>, 207 F.3d 1169, 1174 (9th Cir. 2000).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