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15.11 Unauthorized Access Devices—Using or Trafficking (18 U.S.C. § 1029(a)(2))</w:t>
      </w:r>
    </w:p>
    <w:p>
      <w:pPr>
        <w:spacing w:after="240"/>
        <w:ind w:firstLine="720"/>
      </w:pPr>
      <w:r>
        <w:rPr>
          <w:rFonts w:ascii="Times New Roman" w:hAnsi="Times New Roman"/>
          <w:sz w:val="24"/>
        </w:rPr>
        <w:t>The defendant is charged in [Count _______ of] the indictment with [using] [trafficking in] unauthorized access devices during a period of one year in violation of Section 1029(a)(2) of Title 18 of the United States Code. For the defendant to be found guilty of that charge, the government must prove each of the following elements beyond a reasonable doubt:</w:t>
      </w:r>
    </w:p>
    <w:p>
      <w:pPr>
        <w:spacing w:after="240"/>
        <w:ind w:firstLine="720"/>
      </w:pPr>
      <w:r>
        <w:rPr>
          <w:rFonts w:ascii="Times New Roman" w:hAnsi="Times New Roman"/>
          <w:sz w:val="24"/>
        </w:rPr>
        <w:t>First, the defendant knowingly [used] [trafficked in] the unauthorized access devices at any time during a one-year period [beginning [</w:t>
      </w:r>
      <w:r>
        <w:rPr>
          <w:rFonts w:ascii="Times New Roman" w:hAnsi="Times New Roman"/>
          <w:i/>
          <w:sz w:val="24"/>
          <w:u w:val="single"/>
        </w:rPr>
        <w:t>date</w:t>
      </w:r>
      <w:r>
        <w:rPr>
          <w:rFonts w:ascii="Times New Roman" w:hAnsi="Times New Roman"/>
          <w:sz w:val="24"/>
        </w:rPr>
        <w:t>], and ending [</w:t>
      </w:r>
      <w:r>
        <w:rPr>
          <w:rFonts w:ascii="Times New Roman" w:hAnsi="Times New Roman"/>
          <w:i/>
          <w:sz w:val="24"/>
          <w:u w:val="single"/>
        </w:rPr>
        <w:t>date</w:t>
      </w:r>
      <w:r>
        <w:rPr>
          <w:rFonts w:ascii="Times New Roman" w:hAnsi="Times New Roman"/>
          <w:sz w:val="24"/>
        </w:rPr>
        <w:t>]];</w:t>
      </w:r>
    </w:p>
    <w:p>
      <w:pPr>
        <w:spacing w:after="240"/>
        <w:ind w:firstLine="720"/>
      </w:pPr>
      <w:r>
        <w:rPr>
          <w:rFonts w:ascii="Times New Roman" w:hAnsi="Times New Roman"/>
          <w:sz w:val="24"/>
        </w:rPr>
        <w:t>Second, by [using] [trafficking in] the unauthorized access devices during that period, the defendant obtained [anything of value worth $1,000 or more] [things of value, their value together totaling $1,000 or more] during that period;</w:t>
      </w:r>
    </w:p>
    <w:p>
      <w:pPr>
        <w:spacing w:after="240"/>
        <w:ind w:firstLine="720"/>
      </w:pPr>
      <w:r>
        <w:rPr>
          <w:rFonts w:ascii="Times New Roman" w:hAnsi="Times New Roman"/>
          <w:sz w:val="24"/>
        </w:rPr>
        <w:t>Third, the defendant acted with the intent to defraud; and</w:t>
      </w:r>
    </w:p>
    <w:p>
      <w:pPr>
        <w:spacing w:after="240"/>
        <w:ind w:firstLine="720"/>
      </w:pPr>
      <w:r>
        <w:rPr>
          <w:rFonts w:ascii="Times New Roman" w:hAnsi="Times New Roman"/>
          <w:sz w:val="24"/>
        </w:rPr>
        <w:t>Fourth, the defendant’s conduct in some way affected commerce between one state and [an]other state[s], or between a state of the United States and a foreign country.</w:t>
      </w:r>
    </w:p>
    <w:p>
      <w:pPr>
        <w:spacing w:after="240"/>
        <w:ind w:firstLine="720"/>
      </w:pPr>
      <w:r>
        <w:rPr>
          <w:rFonts w:ascii="Times New Roman" w:hAnsi="Times New Roman"/>
          <w:sz w:val="24"/>
        </w:rPr>
        <w:t>An “unauthorized access device” is any access device that is lost, stolen, expired, revoked, canceled, or obtained with intent to defraud.</w:t>
      </w:r>
    </w:p>
    <w:p>
      <w:pPr>
        <w:spacing w:after="240"/>
        <w:ind w:firstLine="720"/>
      </w:pPr>
      <w:r>
        <w:rPr>
          <w:rFonts w:ascii="Times New Roman" w:hAnsi="Times New Roman"/>
          <w:sz w:val="24"/>
        </w:rPr>
        <w:t>[To “traffic” in an access device means to transfer or otherwise dispose of it to another, or to obtain control of it with intent to transfer or dispose of it.]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Use this instruction in conjunction with Instruction 15.16 (Access Device—Defined). </w:t>
      </w:r>
      <w:r>
        <w:rPr>
          <w:rFonts w:ascii="Times New Roman" w:hAnsi="Times New Roman"/>
          <w:i/>
          <w:sz w:val="24"/>
        </w:rPr>
        <w:t>See United States v. Brannan</w:t>
      </w:r>
      <w:r>
        <w:rPr>
          <w:rFonts w:ascii="Times New Roman" w:hAnsi="Times New Roman"/>
          <w:sz w:val="24"/>
        </w:rPr>
        <w:t>, 898 F.2d 107, 108-10 (9th Cir. 1990) (distinguishing “unauthorized access device” from “counterfeit access device”).</w:t>
      </w:r>
    </w:p>
    <w:p>
      <w:pPr>
        <w:spacing w:after="240"/>
        <w:ind w:firstLine="720"/>
      </w:pPr>
      <w:r>
        <w:rPr>
          <w:rFonts w:ascii="Times New Roman" w:hAnsi="Times New Roman"/>
          <w:sz w:val="24"/>
        </w:rPr>
        <w:t>For a definition of “intent to defraud,” see Instruction 4.13 (Intent to Defraud).</w:t>
      </w:r>
    </w:p>
    <w:p>
      <w:pPr>
        <w:spacing w:after="240"/>
        <w:ind w:firstLine="720"/>
      </w:pPr>
      <w:r>
        <w:rPr>
          <w:rFonts w:ascii="Times New Roman" w:hAnsi="Times New Roman"/>
          <w:sz w:val="24"/>
        </w:rPr>
        <w:t xml:space="preserve">For a definition of “knowingly,” </w:t>
      </w:r>
      <w:r>
        <w:rPr>
          <w:rFonts w:ascii="Times New Roman" w:hAnsi="Times New Roman"/>
          <w:i/>
          <w:sz w:val="24"/>
        </w:rPr>
        <w:t>see</w:t>
      </w:r>
      <w:r>
        <w:rPr>
          <w:rFonts w:ascii="Times New Roman" w:hAnsi="Times New Roman"/>
          <w:sz w:val="24"/>
        </w:rPr>
        <w:t xml:space="preserve"> Instructions 4.8 (Knowingly) and 4.9 (Deliberate Ignorance).</w:t>
      </w:r>
    </w:p>
    <w:p>
      <w:pPr>
        <w:spacing w:after="240"/>
        <w:ind w:firstLine="720"/>
      </w:pPr>
      <w:r>
        <w:rPr>
          <w:rFonts w:ascii="Times New Roman" w:hAnsi="Times New Roman"/>
          <w:sz w:val="24"/>
        </w:rPr>
        <w:t xml:space="preserve">When parties dispute the “affecting commerce” requirement, </w:t>
      </w:r>
      <w:r>
        <w:rPr>
          <w:rFonts w:ascii="Times New Roman" w:hAnsi="Times New Roman"/>
          <w:i/>
          <w:sz w:val="24"/>
        </w:rPr>
        <w:t>see</w:t>
      </w:r>
      <w:r>
        <w:rPr>
          <w:rFonts w:ascii="Times New Roman" w:hAnsi="Times New Roman"/>
          <w:sz w:val="24"/>
        </w:rPr>
        <w:t xml:space="preserve"> Comment to Instruction 15.10 (Counterfeit Access Devices—Producing, Using, or Trafficking). </w:t>
      </w:r>
      <w:r>
        <w:rPr>
          <w:rFonts w:ascii="Times New Roman" w:hAnsi="Times New Roman"/>
          <w:i/>
          <w:sz w:val="24"/>
        </w:rPr>
        <w:t xml:space="preserve">See also </w:t>
      </w:r>
      <w:r>
        <w:rPr>
          <w:rFonts w:ascii="Times New Roman" w:hAnsi="Times New Roman"/>
          <w:sz w:val="24"/>
        </w:rPr>
        <w:t>Comment to Instruction 15.10 for changes to this instruction when attempt or conspiracy is alleged in violation of 18 U.S.C. § 1029(a).</w:t>
      </w:r>
    </w:p>
    <w:p>
      <w:pPr>
        <w:spacing w:after="240"/>
        <w:ind w:firstLine="720"/>
      </w:pPr>
      <w:r>
        <w:rPr>
          <w:rFonts w:ascii="Times New Roman" w:hAnsi="Times New Roman"/>
          <w:sz w:val="24"/>
        </w:rPr>
        <w:t>18 U.S.C. § 10 defines interstate and foreign commerce.</w:t>
      </w:r>
    </w:p>
    <w:p>
      <w:pPr>
        <w:spacing w:after="240"/>
        <w:ind w:firstLine="720"/>
      </w:pPr>
      <w:r>
        <w:rPr>
          <w:rFonts w:ascii="Times New Roman" w:hAnsi="Times New Roman"/>
          <w:sz w:val="24"/>
        </w:rPr>
        <w:t>18 U.S.C. § 1029(e) defines “access device,” “traffic,” and “unauthorized access device.”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