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16.1 Murder—First Degree (18 U.S.C. § 1111)</w:t>
      </w:r>
    </w:p>
    <w:p>
      <w:pPr>
        <w:spacing w:after="240"/>
        <w:ind w:firstLine="720"/>
      </w:pPr>
      <w:r>
        <w:rPr>
          <w:rFonts w:ascii="Times New Roman" w:hAnsi="Times New Roman"/>
          <w:sz w:val="24"/>
        </w:rPr>
        <w:t>The defendant is charged in [Count _______ of] the indictment with murder in the first degree in violation of Section 1111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unlawfully killed [</w:t>
      </w:r>
      <w:r>
        <w:rPr>
          <w:rFonts w:ascii="Times New Roman" w:hAnsi="Times New Roman"/>
          <w:i/>
          <w:sz w:val="24"/>
          <w:u w:val="single"/>
        </w:rPr>
        <w:t>name of victim</w:t>
      </w:r>
      <w:r>
        <w:rPr>
          <w:rFonts w:ascii="Times New Roman" w:hAnsi="Times New Roman"/>
          <w:sz w:val="24"/>
        </w:rPr>
        <w:t>];</w:t>
      </w:r>
    </w:p>
    <w:p>
      <w:pPr>
        <w:spacing w:after="240"/>
        <w:ind w:firstLine="720"/>
      </w:pPr>
      <w:r>
        <w:rPr>
          <w:rFonts w:ascii="Times New Roman" w:hAnsi="Times New Roman"/>
          <w:sz w:val="24"/>
        </w:rPr>
        <w:t>Second, the defendant killed [</w:t>
      </w:r>
      <w:r>
        <w:rPr>
          <w:rFonts w:ascii="Times New Roman" w:hAnsi="Times New Roman"/>
          <w:i/>
          <w:sz w:val="24"/>
          <w:u w:val="single"/>
        </w:rPr>
        <w:t>name of</w:t>
      </w:r>
      <w:r>
        <w:rPr>
          <w:rFonts w:ascii="Times New Roman" w:hAnsi="Times New Roman"/>
          <w:sz w:val="24"/>
        </w:rPr>
        <w:t xml:space="preserve"> </w:t>
      </w:r>
      <w:r>
        <w:rPr>
          <w:rFonts w:ascii="Times New Roman" w:hAnsi="Times New Roman"/>
          <w:i/>
          <w:sz w:val="24"/>
          <w:u w:val="single"/>
        </w:rPr>
        <w:t>victim</w:t>
      </w:r>
      <w:r>
        <w:rPr>
          <w:rFonts w:ascii="Times New Roman" w:hAnsi="Times New Roman"/>
          <w:sz w:val="24"/>
        </w:rPr>
        <w:t>] with malice aforethought;</w:t>
      </w:r>
    </w:p>
    <w:p>
      <w:pPr>
        <w:spacing w:after="240"/>
        <w:ind w:firstLine="720"/>
      </w:pPr>
      <w:r>
        <w:rPr>
          <w:rFonts w:ascii="Times New Roman" w:hAnsi="Times New Roman"/>
          <w:sz w:val="24"/>
        </w:rPr>
        <w:t>Third, the killing was premeditated; and</w:t>
      </w:r>
    </w:p>
    <w:p>
      <w:pPr>
        <w:spacing w:after="240"/>
        <w:ind w:firstLine="720"/>
      </w:pPr>
      <w:r>
        <w:rPr>
          <w:rFonts w:ascii="Times New Roman" w:hAnsi="Times New Roman"/>
          <w:sz w:val="24"/>
        </w:rPr>
        <w:t>Fourth, the killing occurred at [</w:t>
      </w:r>
      <w:r>
        <w:rPr>
          <w:rFonts w:ascii="Times New Roman" w:hAnsi="Times New Roman"/>
          <w:i/>
          <w:sz w:val="24"/>
          <w:u w:val="single"/>
        </w:rPr>
        <w:t>specify place of federal jurisdiction</w:t>
      </w:r>
      <w:r>
        <w:rPr>
          <w:rFonts w:ascii="Times New Roman" w:hAnsi="Times New Roman"/>
          <w:sz w:val="24"/>
        </w:rPr>
        <w:t>].</w:t>
      </w:r>
    </w:p>
    <w:p>
      <w:pPr>
        <w:spacing w:after="240"/>
        <w:ind w:firstLine="720"/>
      </w:pPr>
      <w:r>
        <w:rPr>
          <w:rFonts w:ascii="Times New Roman" w:hAnsi="Times New Roman"/>
          <w:sz w:val="24"/>
        </w:rPr>
        <w:t>To kill with malice aforethought means to kill either deliberately and intentionally or recklessly with extreme disregard for human life.</w:t>
      </w:r>
    </w:p>
    <w:p>
      <w:pPr>
        <w:spacing w:after="240"/>
        <w:ind w:firstLine="720"/>
      </w:pPr>
      <w:r>
        <w:rPr>
          <w:rFonts w:ascii="Times New Roman" w:hAnsi="Times New Roman"/>
          <w:sz w:val="24"/>
        </w:rPr>
        <w:t>Premeditation means with planning or deliberation. The amount of time needed for premeditation of a killing depends on the person and the circumstances. It must be long enough, after forming the intent to kill, for a killer to have been fully conscious of the intent and to have considered the killing.</w:t>
      </w:r>
    </w:p>
    <w:p>
      <w:pPr>
        <w:jc w:val="center"/>
      </w:pPr>
      <w:r>
        <w:rPr>
          <w:rFonts w:ascii="Times New Roman" w:hAnsi="Times New Roman"/>
          <w:b/>
          <w:sz w:val="24"/>
        </w:rPr>
        <w:t>Comment</w:t>
      </w:r>
    </w:p>
    <w:p>
      <w:pPr>
        <w:spacing w:after="240"/>
        <w:ind w:firstLine="720"/>
      </w:pPr>
      <w:r>
        <w:rPr>
          <w:rFonts w:ascii="Times New Roman" w:hAnsi="Times New Roman"/>
          <w:sz w:val="24"/>
        </w:rPr>
        <w:t>The applicable statute, 18 U.S.C. § 1111, also contains a first-degree felony murder provision. When felony murder is charged, the instruction relevant to premeditation should be appropriately modified. For examples, see the Tenth Circuit’s Criminal Pattern Jury Instructions</w:t>
      </w:r>
    </w:p>
    <w:p>
      <w:pPr>
        <w:spacing w:after="240"/>
        <w:ind w:firstLine="720"/>
      </w:pPr>
      <w:r>
        <w:rPr>
          <w:rFonts w:ascii="Times New Roman" w:hAnsi="Times New Roman"/>
          <w:sz w:val="24"/>
        </w:rPr>
        <w:t>2.52.1 (2011 ed., updated Feb. 2018) and the Eleventh Circuit’s Pattern Jury Instructions O45.2 (2019 ed.).</w:t>
      </w:r>
    </w:p>
    <w:p>
      <w:pPr>
        <w:spacing w:after="240"/>
        <w:ind w:firstLine="720"/>
      </w:pPr>
      <w:r>
        <w:rPr>
          <w:rFonts w:ascii="Times New Roman" w:hAnsi="Times New Roman"/>
          <w:sz w:val="24"/>
        </w:rPr>
        <w:t xml:space="preserve">The elements for first degree murder are discussed in </w:t>
      </w:r>
      <w:r>
        <w:rPr>
          <w:rFonts w:ascii="Times New Roman" w:hAnsi="Times New Roman"/>
          <w:i/>
          <w:sz w:val="24"/>
        </w:rPr>
        <w:t>United States v. Free</w:t>
      </w:r>
      <w:r>
        <w:rPr>
          <w:rFonts w:ascii="Times New Roman" w:hAnsi="Times New Roman"/>
          <w:sz w:val="24"/>
        </w:rPr>
        <w:t>, 841 F.2d 321, 325 (9th Cir. 1988) (“The essential elements of first-degree murder are: (1) the act . . . of killing a human being; (2) doing such act . . . with malice aforethought; and (3) doing such  act . . . with premeditation.”).</w:t>
      </w:r>
    </w:p>
    <w:p>
      <w:pPr>
        <w:spacing w:after="240"/>
        <w:ind w:firstLine="720"/>
      </w:pPr>
      <w:r>
        <w:rPr>
          <w:rFonts w:ascii="Times New Roman" w:hAnsi="Times New Roman"/>
          <w:sz w:val="24"/>
        </w:rPr>
        <w:t xml:space="preserve">As to the second element, in </w:t>
      </w:r>
      <w:r>
        <w:rPr>
          <w:rFonts w:ascii="Times New Roman" w:hAnsi="Times New Roman"/>
          <w:i/>
          <w:sz w:val="24"/>
        </w:rPr>
        <w:t>United States v. Houser</w:t>
      </w:r>
      <w:r>
        <w:rPr>
          <w:rFonts w:ascii="Times New Roman" w:hAnsi="Times New Roman"/>
          <w:sz w:val="24"/>
        </w:rPr>
        <w:t>, 130 F.3d 867, 872 (9th Cir. 1997), the Ninth Circuit approved the use of a jury instruction that defined malice aforethought as “either deliberately and intentionally or recklessly with extreme disregard for human life.”</w:t>
      </w:r>
    </w:p>
    <w:p>
      <w:pPr>
        <w:spacing w:after="240"/>
        <w:ind w:firstLine="720"/>
      </w:pPr>
      <w:r>
        <w:rPr>
          <w:rFonts w:ascii="Times New Roman" w:hAnsi="Times New Roman"/>
          <w:sz w:val="24"/>
        </w:rPr>
        <w:t>Killing with “extreme disregard” refers not only to acts endangering the public at large,</w:t>
      </w:r>
    </w:p>
    <w:p>
      <w:pPr>
        <w:spacing w:after="240"/>
        <w:ind w:firstLine="720"/>
      </w:pPr>
      <w:r>
        <w:rPr>
          <w:rFonts w:ascii="Times New Roman" w:hAnsi="Times New Roman"/>
          <w:sz w:val="24"/>
        </w:rPr>
        <w:t xml:space="preserve">but also to acts directed solely to the person killed. </w:t>
      </w:r>
      <w:r>
        <w:rPr>
          <w:rFonts w:ascii="Times New Roman" w:hAnsi="Times New Roman"/>
          <w:i/>
          <w:sz w:val="24"/>
        </w:rPr>
        <w:t>Houser</w:t>
      </w:r>
      <w:r>
        <w:rPr>
          <w:rFonts w:ascii="Times New Roman" w:hAnsi="Times New Roman"/>
          <w:sz w:val="24"/>
        </w:rPr>
        <w:t xml:space="preserve">, 130 F.3d at 890. In addition, the court should exercise caution regarding the “troublesome issue” of providing a permissive inference instruction on malice aforethought. </w:t>
      </w:r>
      <w:r>
        <w:rPr>
          <w:rFonts w:ascii="Times New Roman" w:hAnsi="Times New Roman"/>
          <w:i/>
          <w:sz w:val="24"/>
        </w:rPr>
        <w:t>Id</w:t>
      </w:r>
      <w:r>
        <w:rPr>
          <w:rFonts w:ascii="Times New Roman" w:hAnsi="Times New Roman"/>
          <w:sz w:val="24"/>
        </w:rPr>
        <w:t>. at 869-71.</w:t>
      </w:r>
    </w:p>
    <w:p>
      <w:pPr>
        <w:spacing w:after="240"/>
        <w:ind w:firstLine="720"/>
      </w:pPr>
      <w:r>
        <w:rPr>
          <w:rFonts w:ascii="Times New Roman" w:hAnsi="Times New Roman"/>
          <w:sz w:val="24"/>
        </w:rPr>
        <w:t xml:space="preserve">As to the fourth element, whether the crime alleged occurred at a particular location is a question of fact. </w:t>
      </w:r>
      <w:r>
        <w:rPr>
          <w:rFonts w:ascii="Times New Roman" w:hAnsi="Times New Roman"/>
          <w:i/>
          <w:sz w:val="24"/>
        </w:rPr>
        <w:t>United States v. Warren</w:t>
      </w:r>
      <w:r>
        <w:rPr>
          <w:rFonts w:ascii="Times New Roman" w:hAnsi="Times New Roman"/>
          <w:sz w:val="24"/>
        </w:rPr>
        <w:t xml:space="preserve">, 984 F.2d 325, 327 (9th Cir. 1993). Whether the location is within the special maritime and territorial jurisdiction of the United States, or a federal prison is a question of law. </w:t>
      </w:r>
      <w:r>
        <w:rPr>
          <w:rFonts w:ascii="Times New Roman" w:hAnsi="Times New Roman"/>
          <w:i/>
          <w:sz w:val="24"/>
        </w:rPr>
        <w:t>See United States v. Gipe</w:t>
      </w:r>
      <w:r>
        <w:rPr>
          <w:rFonts w:ascii="Times New Roman" w:hAnsi="Times New Roman"/>
          <w:sz w:val="24"/>
        </w:rPr>
        <w:t>, 672 F.2d 777, 779 (9th Cir. 1982).</w:t>
      </w:r>
    </w:p>
    <w:p>
      <w:pPr>
        <w:spacing w:after="240"/>
        <w:ind w:firstLine="720"/>
      </w:pPr>
      <w:r>
        <w:rPr>
          <w:rFonts w:ascii="Times New Roman" w:hAnsi="Times New Roman"/>
          <w:sz w:val="24"/>
        </w:rPr>
        <w:t xml:space="preserve">If there is evidence that the defendant acted in self-defense or with some other justification or excuse, </w:t>
      </w:r>
      <w:r>
        <w:rPr>
          <w:rFonts w:ascii="Times New Roman" w:hAnsi="Times New Roman"/>
          <w:i/>
          <w:sz w:val="24"/>
        </w:rPr>
        <w:t xml:space="preserve">see </w:t>
      </w:r>
      <w:r>
        <w:rPr>
          <w:rFonts w:ascii="Times New Roman" w:hAnsi="Times New Roman"/>
          <w:sz w:val="24"/>
        </w:rPr>
        <w:t>Instruction 5.10 (Self-Defense).</w:t>
      </w:r>
    </w:p>
    <w:p>
      <w:pPr>
        <w:spacing w:after="240"/>
        <w:ind w:firstLine="720"/>
      </w:pPr>
      <w:r>
        <w:rPr>
          <w:rFonts w:ascii="Times New Roman" w:hAnsi="Times New Roman"/>
          <w:sz w:val="24"/>
        </w:rPr>
        <w:t xml:space="preserve">Voluntary and involuntary manslaughter are lesser included offenses of murder. </w:t>
      </w:r>
      <w:r>
        <w:rPr>
          <w:rFonts w:ascii="Times New Roman" w:hAnsi="Times New Roman"/>
          <w:i/>
          <w:sz w:val="24"/>
        </w:rPr>
        <w:t>United</w:t>
      </w:r>
    </w:p>
    <w:p>
      <w:pPr>
        <w:spacing w:after="240"/>
        <w:ind w:firstLine="720"/>
      </w:pPr>
      <w:r>
        <w:rPr>
          <w:rFonts w:ascii="Times New Roman" w:hAnsi="Times New Roman"/>
          <w:i/>
          <w:sz w:val="24"/>
        </w:rPr>
        <w:t>States v. Arnt</w:t>
      </w:r>
      <w:r>
        <w:rPr>
          <w:rFonts w:ascii="Times New Roman" w:hAnsi="Times New Roman"/>
          <w:sz w:val="24"/>
        </w:rPr>
        <w:t xml:space="preserve">, 474 F.3d 1159, 1163 (9th Cir. 2007). However, they are not lesser included offenses of felony murder. </w:t>
      </w:r>
      <w:r>
        <w:rPr>
          <w:rFonts w:ascii="Times New Roman" w:hAnsi="Times New Roman"/>
          <w:i/>
          <w:sz w:val="24"/>
        </w:rPr>
        <w:t>United States v. Miguel</w:t>
      </w:r>
      <w:r>
        <w:rPr>
          <w:rFonts w:ascii="Times New Roman" w:hAnsi="Times New Roman"/>
          <w:sz w:val="24"/>
        </w:rPr>
        <w:t>, 338 F.3d 995, 1004-06 (9th Cir. 2003).</w:t>
      </w:r>
    </w:p>
    <w:p>
      <w:pPr>
        <w:spacing w:after="240"/>
        <w:ind w:firstLine="720"/>
      </w:pPr>
      <w:r>
        <w:rPr>
          <w:rFonts w:ascii="Times New Roman" w:hAnsi="Times New Roman"/>
          <w:sz w:val="24"/>
        </w:rPr>
        <w:t xml:space="preserve">The trial judge may be obligated to give an instruction on involuntary manslaughter in a murder case even when the defense does not offer the instruction. In </w:t>
      </w:r>
      <w:r>
        <w:rPr>
          <w:rFonts w:ascii="Times New Roman" w:hAnsi="Times New Roman"/>
          <w:i/>
          <w:sz w:val="24"/>
        </w:rPr>
        <w:t>United States v. Anderson</w:t>
      </w:r>
      <w:r>
        <w:rPr>
          <w:rFonts w:ascii="Times New Roman" w:hAnsi="Times New Roman"/>
          <w:sz w:val="24"/>
        </w:rPr>
        <w:t xml:space="preserve">, 201 F.3d 1145, 1150 (9th Cir. 2000), the Ninth Circuit held that it was plain error for the court not to instruct the jury on involuntary manslaughter, even though the defendant had not requested such an instruction, because there was evidence in the record to support the theory that the killing was accidental. A defendant is not automatically entitled to a voluntary manslaughter instruction. There must be some evidence that supports the proposition that the defendant was acting out of passion rather than malice, such as evidence of provocation. </w:t>
      </w:r>
      <w:r>
        <w:rPr>
          <w:rFonts w:ascii="Times New Roman" w:hAnsi="Times New Roman"/>
          <w:i/>
          <w:sz w:val="24"/>
        </w:rPr>
        <w:t>United States v. Begay</w:t>
      </w:r>
      <w:r>
        <w:rPr>
          <w:rFonts w:ascii="Times New Roman" w:hAnsi="Times New Roman"/>
          <w:sz w:val="24"/>
        </w:rPr>
        <w:t xml:space="preserve">, 673 F.3d 1038 (9th Cir. 2011) (en banc). The district court, which instructed the jury following Instruction 8.89 (2003) (now this instruction), properly instructed the jury on the correct definition of premeditation. </w:t>
      </w:r>
      <w:r>
        <w:rPr>
          <w:rFonts w:ascii="Times New Roman" w:hAnsi="Times New Roman"/>
          <w:i/>
          <w:sz w:val="24"/>
        </w:rPr>
        <w:t>Id.</w:t>
      </w:r>
      <w:r>
        <w:rPr>
          <w:rFonts w:ascii="Times New Roman" w:hAnsi="Times New Roman"/>
          <w:sz w:val="24"/>
        </w:rPr>
        <w:t xml:space="preserve"> at 1043.</w:t>
      </w:r>
    </w:p>
    <w:p>
      <w:pPr>
        <w:spacing w:after="240"/>
        <w:ind w:firstLine="720"/>
      </w:pPr>
      <w:r>
        <w:rPr>
          <w:rFonts w:ascii="Times New Roman" w:hAnsi="Times New Roman"/>
          <w:sz w:val="24"/>
        </w:rPr>
        <w:t xml:space="preserve">The trial judge is obligated to give an instruction on a lesser included offense in a murder case if the law and evidence satisfy a two-part test. </w:t>
      </w:r>
      <w:r>
        <w:rPr>
          <w:rFonts w:ascii="Times New Roman" w:hAnsi="Times New Roman"/>
          <w:i/>
          <w:sz w:val="24"/>
        </w:rPr>
        <w:t>Arnt</w:t>
      </w:r>
      <w:r>
        <w:rPr>
          <w:rFonts w:ascii="Times New Roman" w:hAnsi="Times New Roman"/>
          <w:sz w:val="24"/>
        </w:rPr>
        <w:t xml:space="preserve">, 474 F.3d at 1163. The first step is a legal question: “Is the offense for which the instruction is sought a lesser-included offense of the charged offense?” </w:t>
      </w:r>
      <w:r>
        <w:rPr>
          <w:rFonts w:ascii="Times New Roman" w:hAnsi="Times New Roman"/>
          <w:i/>
          <w:sz w:val="24"/>
        </w:rPr>
        <w:t xml:space="preserve">Id. </w:t>
      </w:r>
      <w:r>
        <w:rPr>
          <w:rFonts w:ascii="Times New Roman" w:hAnsi="Times New Roman"/>
          <w:sz w:val="24"/>
        </w:rPr>
        <w:t xml:space="preserve">“The second step is a factual inquiry:  Does the record contain evidence that would support conviction of the lesser offense?” </w:t>
      </w:r>
      <w:r>
        <w:rPr>
          <w:rFonts w:ascii="Times New Roman" w:hAnsi="Times New Roman"/>
          <w:i/>
          <w:sz w:val="24"/>
        </w:rPr>
        <w:t>Id.</w:t>
      </w:r>
    </w:p>
    <w:p>
      <w:pPr>
        <w:spacing w:after="240"/>
        <w:ind w:firstLine="720"/>
      </w:pPr>
      <w:r>
        <w:rPr>
          <w:rFonts w:ascii="Times New Roman" w:hAnsi="Times New Roman"/>
          <w:i/>
          <w:sz w:val="24"/>
        </w:rPr>
        <w:t>Revised June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