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16.5 Attempted Murder (18 U.S.C. § 1113)</w:t>
      </w:r>
    </w:p>
    <w:p>
      <w:pPr>
        <w:spacing w:after="240"/>
        <w:ind w:firstLine="720"/>
      </w:pPr>
      <w:r>
        <w:rPr>
          <w:rFonts w:ascii="Times New Roman" w:hAnsi="Times New Roman"/>
          <w:sz w:val="24"/>
        </w:rPr>
        <w:t>The defendant is charged in [Count ________ of] the indictment with attempted murder in violation of Section 1113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did something that was a substantial step toward killing [</w:t>
      </w:r>
      <w:r>
        <w:rPr>
          <w:rFonts w:ascii="Times New Roman" w:hAnsi="Times New Roman"/>
          <w:i/>
          <w:sz w:val="24"/>
          <w:u w:val="single"/>
        </w:rPr>
        <w:t>name of intended victim</w:t>
      </w:r>
      <w:r>
        <w:rPr>
          <w:rFonts w:ascii="Times New Roman" w:hAnsi="Times New Roman"/>
          <w:sz w:val="24"/>
        </w:rPr>
        <w:t>];</w:t>
      </w:r>
    </w:p>
    <w:p>
      <w:pPr>
        <w:spacing w:after="240"/>
        <w:ind w:firstLine="720"/>
      </w:pPr>
      <w:r>
        <w:rPr>
          <w:rFonts w:ascii="Times New Roman" w:hAnsi="Times New Roman"/>
          <w:sz w:val="24"/>
        </w:rPr>
        <w:t>Second, when the defendant took that substantial step, the defendant intended to kill [</w:t>
      </w:r>
      <w:r>
        <w:rPr>
          <w:rFonts w:ascii="Times New Roman" w:hAnsi="Times New Roman"/>
          <w:i/>
          <w:sz w:val="24"/>
          <w:u w:val="single"/>
        </w:rPr>
        <w:t>name of intended victim</w:t>
      </w:r>
      <w:r>
        <w:rPr>
          <w:rFonts w:ascii="Times New Roman" w:hAnsi="Times New Roman"/>
          <w:sz w:val="24"/>
        </w:rPr>
        <w:t>]; and</w:t>
      </w:r>
    </w:p>
    <w:p>
      <w:pPr>
        <w:spacing w:after="240"/>
        <w:ind w:firstLine="720"/>
      </w:pPr>
      <w:r>
        <w:rPr>
          <w:rFonts w:ascii="Times New Roman" w:hAnsi="Times New Roman"/>
          <w:sz w:val="24"/>
        </w:rPr>
        <w:t>Third, the attempted killing occurred at [</w:t>
      </w:r>
      <w:r>
        <w:rPr>
          <w:rFonts w:ascii="Times New Roman" w:hAnsi="Times New Roman"/>
          <w:i/>
          <w:sz w:val="24"/>
          <w:u w:val="single"/>
        </w:rPr>
        <w:t>specify place of federal jurisdiction</w:t>
      </w:r>
      <w:r>
        <w:rPr>
          <w:rFonts w:ascii="Times New Roman" w:hAnsi="Times New Roman"/>
          <w:sz w:val="24"/>
        </w:rPr>
        <w:t>].</w:t>
      </w:r>
    </w:p>
    <w:p>
      <w:pPr>
        <w:spacing w:after="240"/>
        <w:ind w:firstLine="720"/>
      </w:pPr>
      <w:r>
        <w:rPr>
          <w:rFonts w:ascii="Times New Roman" w:hAnsi="Times New Roman"/>
          <w:sz w:val="24"/>
        </w:rPr>
        <w:t>A “substantial step” is conduct that strongly corroborated the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pPr>
        <w:spacing w:after="240"/>
        <w:ind w:firstLine="720"/>
      </w:pPr>
      <w:r>
        <w:rPr>
          <w:rFonts w:ascii="Times New Roman" w:hAnsi="Times New Roman"/>
          <w:sz w:val="24"/>
        </w:rPr>
        <w:t>Jurors do not need to agree unanimously as to which particular act or actions constituted a substantial step toward the commission of a crime.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“To constitute a substantial step, a defendant’s actions must cross the line between preparation and attempt by unequivocally demonstrating that the crime will take place unless interrupted by independent circumstances.” </w:t>
      </w:r>
      <w:r>
        <w:rPr>
          <w:rFonts w:ascii="Times New Roman" w:hAnsi="Times New Roman"/>
          <w:i/>
          <w:sz w:val="24"/>
        </w:rPr>
        <w:t>United States v. Goetzke</w:t>
      </w:r>
      <w:r>
        <w:rPr>
          <w:rFonts w:ascii="Times New Roman" w:hAnsi="Times New Roman"/>
          <w:sz w:val="24"/>
        </w:rPr>
        <w:t xml:space="preserve">, 494 F.3d 1231, 1237 (9th Cir. 2007) (per curiam) (quoting </w:t>
      </w:r>
      <w:r>
        <w:rPr>
          <w:rFonts w:ascii="Times New Roman" w:hAnsi="Times New Roman"/>
          <w:i/>
          <w:sz w:val="24"/>
        </w:rPr>
        <w:t>United States v. Nelson</w:t>
      </w:r>
      <w:r>
        <w:rPr>
          <w:rFonts w:ascii="Times New Roman" w:hAnsi="Times New Roman"/>
          <w:sz w:val="24"/>
        </w:rPr>
        <w:t>, 66 F.3d 1036, 1042 (9th Cir. 1995)).</w:t>
      </w:r>
    </w:p>
    <w:p>
      <w:pPr>
        <w:spacing w:after="240"/>
        <w:ind w:firstLine="720"/>
      </w:pPr>
      <w:r>
        <w:rPr>
          <w:rFonts w:ascii="Times New Roman" w:hAnsi="Times New Roman"/>
          <w:sz w:val="24"/>
        </w:rPr>
        <w:t xml:space="preserve">The “strongly corroborated” language in this instruction comes from </w:t>
      </w:r>
      <w:r>
        <w:rPr>
          <w:rFonts w:ascii="Times New Roman" w:hAnsi="Times New Roman"/>
          <w:i/>
          <w:sz w:val="24"/>
        </w:rPr>
        <w:t>United States v. Snell</w:t>
      </w:r>
      <w:r>
        <w:rPr>
          <w:rFonts w:ascii="Times New Roman" w:hAnsi="Times New Roman"/>
          <w:sz w:val="24"/>
        </w:rPr>
        <w:t xml:space="preserve">, 627 F.2d 186, 187 (9th Cir. 1980) (per curiam) (“A conviction for attempt requires proof of culpable intent and conduct constituting a substantial step toward commission of the crime that strongly corroborates that intent.”) and </w:t>
      </w:r>
      <w:r>
        <w:rPr>
          <w:rFonts w:ascii="Times New Roman" w:hAnsi="Times New Roman"/>
          <w:i/>
          <w:sz w:val="24"/>
        </w:rPr>
        <w:t>United States v. Darby</w:t>
      </w:r>
      <w:r>
        <w:rPr>
          <w:rFonts w:ascii="Times New Roman" w:hAnsi="Times New Roman"/>
          <w:sz w:val="24"/>
        </w:rPr>
        <w:t>, 857 F.2d 623, 625 (9th Cir. 1988) (same).</w:t>
      </w:r>
    </w:p>
    <w:p>
      <w:pPr>
        <w:spacing w:after="240"/>
        <w:ind w:firstLine="720"/>
      </w:pPr>
      <w:r>
        <w:rPr>
          <w:rFonts w:ascii="Times New Roman" w:hAnsi="Times New Roman"/>
          <w:sz w:val="24"/>
        </w:rPr>
        <w:t xml:space="preserve">Jurors do not need to agree unanimously as to which particular act or actions constituted a substantial step toward the commission of a crime. </w:t>
      </w:r>
      <w:r>
        <w:rPr>
          <w:rFonts w:ascii="Times New Roman" w:hAnsi="Times New Roman"/>
          <w:i/>
          <w:sz w:val="24"/>
        </w:rPr>
        <w:t>United States v. Hofus</w:t>
      </w:r>
      <w:r>
        <w:rPr>
          <w:rFonts w:ascii="Times New Roman" w:hAnsi="Times New Roman"/>
          <w:sz w:val="24"/>
        </w:rPr>
        <w:t>, 598 F.3d 1171, 1176 (9th Cir. 2010).</w:t>
      </w:r>
    </w:p>
    <w:p>
      <w:pPr>
        <w:spacing w:after="240"/>
        <w:ind w:firstLine="720"/>
      </w:pPr>
      <w:r>
        <w:rPr>
          <w:rFonts w:ascii="Times New Roman" w:hAnsi="Times New Roman"/>
          <w:i/>
          <w:sz w:val="24"/>
        </w:rPr>
        <w:t>See Braxton v. United States</w:t>
      </w:r>
      <w:r>
        <w:rPr>
          <w:rFonts w:ascii="Times New Roman" w:hAnsi="Times New Roman"/>
          <w:sz w:val="24"/>
        </w:rPr>
        <w:t>, 500 U.S. 344, 351 (1991) (“Although a murder may be committed without an intent to kill, an attempt to commit murder requires a specific intent to kill.” (citations omitted)). Although one acting “recklessly with extreme disregard for human life” can be convicted of murder if a killing results (</w:t>
      </w:r>
      <w:r>
        <w:rPr>
          <w:rFonts w:ascii="Times New Roman" w:hAnsi="Times New Roman"/>
          <w:i/>
          <w:sz w:val="24"/>
        </w:rPr>
        <w:t>see</w:t>
      </w:r>
      <w:r>
        <w:rPr>
          <w:rFonts w:ascii="Times New Roman" w:hAnsi="Times New Roman"/>
          <w:sz w:val="24"/>
        </w:rPr>
        <w:t xml:space="preserve"> Instruction 16.1 (Murder—First Degree) and 16.2 (Murder—Second Degree)), that same recklessness cannot support a conviction of attempted murder if, fortuitously, no one is killed. </w:t>
      </w:r>
      <w:r>
        <w:rPr>
          <w:rFonts w:ascii="Times New Roman" w:hAnsi="Times New Roman"/>
          <w:i/>
          <w:sz w:val="24"/>
        </w:rPr>
        <w:t>See United States v. Kwong</w:t>
      </w:r>
      <w:r>
        <w:rPr>
          <w:rFonts w:ascii="Times New Roman" w:hAnsi="Times New Roman"/>
          <w:sz w:val="24"/>
        </w:rPr>
        <w:t>, 14 F.3d 189, 194-95 (2d Cir. 1994) (holding that under 18 U.S.C. § 1113, attempted murder conviction requires proof of specific intent to kill; recklessness and wanton conduct, grossly deviating from a reasonable standard of care such that defendant was aware of the serious risk of death, would not suffice as proof of an intent to kill).</w:t>
      </w:r>
    </w:p>
    <w:p>
      <w:pPr>
        <w:spacing w:after="240"/>
        <w:ind w:firstLine="720"/>
      </w:pPr>
      <w:r>
        <w:rPr>
          <w:rFonts w:ascii="Times New Roman" w:hAnsi="Times New Roman"/>
          <w:sz w:val="24"/>
        </w:rPr>
        <w:t xml:space="preserve">“[A] person may be convicted of an attempt to commit a crime even though that person may have actually completed the crime.” </w:t>
      </w:r>
      <w:r>
        <w:rPr>
          <w:rFonts w:ascii="Times New Roman" w:hAnsi="Times New Roman"/>
          <w:i/>
          <w:sz w:val="24"/>
        </w:rPr>
        <w:t>United States v. Rivera-Relle</w:t>
      </w:r>
      <w:r>
        <w:rPr>
          <w:rFonts w:ascii="Times New Roman" w:hAnsi="Times New Roman"/>
          <w:sz w:val="24"/>
        </w:rPr>
        <w:t>, 333 F.3d 914, 921 (9th Cir. 2003).</w:t>
      </w:r>
    </w:p>
    <w:p>
      <w:pPr>
        <w:spacing w:after="240"/>
        <w:ind w:firstLine="720"/>
      </w:pPr>
      <w:r>
        <w:rPr>
          <w:rFonts w:ascii="Times New Roman" w:hAnsi="Times New Roman"/>
          <w:i/>
          <w:sz w:val="24"/>
        </w:rPr>
        <w:t>Revised May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