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18.2 Illegal Gambling Business (18 U.S.C. § 1955)</w:t>
      </w:r>
    </w:p>
    <w:p>
      <w:pPr>
        <w:spacing w:after="240"/>
        <w:ind w:firstLine="720"/>
      </w:pPr>
      <w:r>
        <w:rPr>
          <w:rFonts w:ascii="Times New Roman" w:hAnsi="Times New Roman"/>
          <w:sz w:val="24"/>
        </w:rPr>
        <w:t>The defendant is charged in [Count _______ of] the indictment with [conducting] [financing] [managing] [supervising] [directing] [owning] an illegal gambling business in violation of Section 1955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[conducted] [financed] [managed] [supervised] [directed] [owned] a business consisting of [</w:t>
      </w:r>
      <w:r>
        <w:rPr>
          <w:rFonts w:ascii="Times New Roman" w:hAnsi="Times New Roman"/>
          <w:i/>
          <w:sz w:val="24"/>
          <w:u w:val="single"/>
        </w:rPr>
        <w:t>specify illegal gambling business</w:t>
      </w:r>
      <w:r>
        <w:rPr>
          <w:rFonts w:ascii="Times New Roman" w:hAnsi="Times New Roman"/>
          <w:sz w:val="24"/>
        </w:rPr>
        <w:t>];</w:t>
      </w:r>
    </w:p>
    <w:p>
      <w:pPr>
        <w:spacing w:after="240"/>
        <w:ind w:firstLine="720"/>
      </w:pPr>
      <w:r>
        <w:rPr>
          <w:rFonts w:ascii="Times New Roman" w:hAnsi="Times New Roman"/>
          <w:sz w:val="24"/>
        </w:rPr>
        <w:t>Second, [</w:t>
      </w:r>
      <w:r>
        <w:rPr>
          <w:rFonts w:ascii="Times New Roman" w:hAnsi="Times New Roman"/>
          <w:i/>
          <w:sz w:val="24"/>
          <w:u w:val="single"/>
        </w:rPr>
        <w:t>specify illegal gambling business</w:t>
      </w:r>
      <w:r>
        <w:rPr>
          <w:rFonts w:ascii="Times New Roman" w:hAnsi="Times New Roman"/>
          <w:sz w:val="24"/>
        </w:rPr>
        <w:t>] is illegal gambling in [</w:t>
      </w:r>
      <w:r>
        <w:rPr>
          <w:rFonts w:ascii="Times New Roman" w:hAnsi="Times New Roman"/>
          <w:i/>
          <w:sz w:val="24"/>
          <w:u w:val="single"/>
        </w:rPr>
        <w:t>specify state or political subdivision</w:t>
      </w:r>
      <w:r>
        <w:rPr>
          <w:rFonts w:ascii="Times New Roman" w:hAnsi="Times New Roman"/>
          <w:sz w:val="24"/>
        </w:rPr>
        <w:t>];</w:t>
      </w:r>
    </w:p>
    <w:p>
      <w:pPr>
        <w:spacing w:after="240"/>
        <w:ind w:firstLine="720"/>
      </w:pPr>
      <w:r>
        <w:rPr>
          <w:rFonts w:ascii="Times New Roman" w:hAnsi="Times New Roman"/>
          <w:sz w:val="24"/>
        </w:rPr>
        <w:t>Third, the business involved five or more persons who [conducted] [financed] [managed] [supervised] [directed] [owned] all or part of the business; and</w:t>
      </w:r>
    </w:p>
    <w:p>
      <w:pPr>
        <w:spacing w:after="240"/>
        <w:ind w:firstLine="720"/>
      </w:pPr>
      <w:r>
        <w:rPr>
          <w:rFonts w:ascii="Times New Roman" w:hAnsi="Times New Roman"/>
          <w:sz w:val="24"/>
        </w:rPr>
        <w:t>Fourth, the business [had been in substantially continuous operation by five or more persons for more than thirty days] [had a gross revenue of $2,000 in any single day].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Where jurors could find from the evidence two separate thirty-day periods, the jury must be instructed that they must unanimously agree on the same period. </w:t>
      </w:r>
      <w:r>
        <w:rPr>
          <w:rFonts w:ascii="Times New Roman" w:hAnsi="Times New Roman"/>
          <w:i/>
          <w:sz w:val="24"/>
        </w:rPr>
        <w:t>United States v. Gilley,</w:t>
      </w:r>
      <w:r>
        <w:rPr>
          <w:rFonts w:ascii="Times New Roman" w:hAnsi="Times New Roman"/>
          <w:sz w:val="24"/>
        </w:rPr>
        <w:t xml:space="preserve"> 836 F.2d 1206, 1211-12 (9th Cir. 1988).</w:t>
      </w:r>
    </w:p>
    <w:p>
      <w:pPr>
        <w:spacing w:after="240"/>
        <w:ind w:firstLine="720"/>
      </w:pPr>
      <w:r>
        <w:rPr>
          <w:rFonts w:ascii="Times New Roman" w:hAnsi="Times New Roman"/>
          <w:i/>
          <w:sz w:val="24"/>
        </w:rPr>
        <w:t>Revised June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