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2.12 Evidence for Limited Purpose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are about to hear evidence that [</w:t>
      </w:r>
      <w:r>
        <w:rPr>
          <w:rFonts w:ascii="Times New Roman" w:hAnsi="Times New Roman"/>
          <w:i/>
          <w:sz w:val="24"/>
          <w:u w:val="single"/>
        </w:rPr>
        <w:t>describe evidence to be received for limited purpose</w:t>
      </w:r>
      <w:r>
        <w:rPr>
          <w:rFonts w:ascii="Times New Roman" w:hAnsi="Times New Roman"/>
          <w:sz w:val="24"/>
        </w:rPr>
        <w:t>]. I instruct you that this evidence is admitted only for the limited purpose of [</w:t>
      </w:r>
      <w:r>
        <w:rPr>
          <w:rFonts w:ascii="Times New Roman" w:hAnsi="Times New Roman"/>
          <w:i/>
          <w:sz w:val="24"/>
          <w:u w:val="single"/>
        </w:rPr>
        <w:t>describe purpose</w:t>
      </w:r>
      <w:r>
        <w:rPr>
          <w:rFonts w:ascii="Times New Roman" w:hAnsi="Times New Roman"/>
          <w:sz w:val="24"/>
        </w:rPr>
        <w:t>] and, therefore, you must consider it only for that limited purpose and not for any other purpose.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Federal Rule of Evidence 105 provides that when evidence is admitted for a limited purpose, the court, when requested, must provide a limiting instruction. Furthermore, the court must provide an appropriate limiting instruction sua sponte if failure to do so would affect the defendant’s “substantial rights.” </w:t>
      </w:r>
      <w:r>
        <w:rPr>
          <w:rFonts w:ascii="Times New Roman" w:hAnsi="Times New Roman"/>
          <w:i/>
          <w:sz w:val="24"/>
        </w:rPr>
        <w:t>See United States v. Armijo</w:t>
      </w:r>
      <w:r>
        <w:rPr>
          <w:rFonts w:ascii="Times New Roman" w:hAnsi="Times New Roman"/>
          <w:sz w:val="24"/>
        </w:rPr>
        <w:t xml:space="preserve">, 5 F.3d 1229, 1232 (9th Cir. 1993). For example, in </w:t>
      </w:r>
      <w:r>
        <w:rPr>
          <w:rFonts w:ascii="Times New Roman" w:hAnsi="Times New Roman"/>
          <w:i/>
          <w:sz w:val="24"/>
        </w:rPr>
        <w:t>United States v. Sauza-Martinez</w:t>
      </w:r>
      <w:r>
        <w:rPr>
          <w:rFonts w:ascii="Times New Roman" w:hAnsi="Times New Roman"/>
          <w:sz w:val="24"/>
        </w:rPr>
        <w:t xml:space="preserve">, 217 F.3d 754, 760 (9th Cir. 2000), the Ninth Circuit held the trial court “had no alternative” but to give the jury a limiting instruction sua sponte when a testifying codefendant’s post-arrest statements were admitted as substantive evidence against her under Fed. R. Evid. 801(d)(2)(A) but were not admissible against another codefendant “under </w:t>
      </w:r>
      <w:r>
        <w:rPr>
          <w:rFonts w:ascii="Times New Roman" w:hAnsi="Times New Roman"/>
          <w:i/>
          <w:sz w:val="24"/>
        </w:rPr>
        <w:t xml:space="preserve">any </w:t>
      </w:r>
      <w:r>
        <w:rPr>
          <w:rFonts w:ascii="Times New Roman" w:hAnsi="Times New Roman"/>
          <w:sz w:val="24"/>
        </w:rPr>
        <w:t xml:space="preserve">theory” (emphasis in original). Under the circumstances of the case, it was plain error to fail to give the limiting instruction sua sponte. </w:t>
      </w:r>
      <w:r>
        <w:rPr>
          <w:rFonts w:ascii="Times New Roman" w:hAnsi="Times New Roman"/>
          <w:i/>
          <w:sz w:val="24"/>
        </w:rPr>
        <w:t xml:space="preserve">Id. </w:t>
      </w:r>
      <w:r>
        <w:rPr>
          <w:rFonts w:ascii="Times New Roman" w:hAnsi="Times New Roman"/>
          <w:sz w:val="24"/>
        </w:rPr>
        <w:t>at 761.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Committee recommends judges use limiting instructions whenever evidence is received for a limited purpose. “We have repeatedly held that a district court’s careful and frequent limiting instructions to the jury, explaining how and against whom certain evidence may be considered, can reduce or eliminate any possibility of prejudice arising from a joint trial.” </w:t>
      </w:r>
      <w:r>
        <w:rPr>
          <w:rFonts w:ascii="Times New Roman" w:hAnsi="Times New Roman"/>
          <w:i/>
          <w:sz w:val="24"/>
        </w:rPr>
        <w:t>United States v. Fernandez</w:t>
      </w:r>
      <w:r>
        <w:rPr>
          <w:rFonts w:ascii="Times New Roman" w:hAnsi="Times New Roman"/>
          <w:sz w:val="24"/>
        </w:rPr>
        <w:t>, 388 F.3d 1199, 1243 (9th Cir. 2004) (internal citations omitted).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