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24.29 Theft Concerning Federally Funded Program—Elements (18 U.S.C. § 666)</w:t>
      </w:r>
    </w:p>
    <w:p>
      <w:pPr>
        <w:spacing w:after="240"/>
        <w:ind w:firstLine="720"/>
      </w:pPr>
      <w:r>
        <w:rPr>
          <w:rFonts w:ascii="Times New Roman" w:hAnsi="Times New Roman"/>
          <w:sz w:val="24"/>
        </w:rPr>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was an agent of [an organization] [[[a state] [local] [tribal]] [government or agency of that government]]; and</w:t>
      </w:r>
    </w:p>
    <w:p>
      <w:pPr>
        <w:spacing w:after="240"/>
        <w:ind w:firstLine="720"/>
      </w:pPr>
      <w:r>
        <w:rPr>
          <w:rFonts w:ascii="Times New Roman" w:hAnsi="Times New Roman"/>
          <w:sz w:val="24"/>
        </w:rPr>
        <w:t>Second, the defendant [embezzled] [stole] [obtained by fraud] [knowingly and without authority converted to the use of someone other than the rightful owner] [intentionally misapplied] property; and</w:t>
      </w:r>
    </w:p>
    <w:p>
      <w:pPr>
        <w:spacing w:after="240"/>
        <w:ind w:firstLine="720"/>
      </w:pPr>
      <w:r>
        <w:rPr>
          <w:rFonts w:ascii="Times New Roman" w:hAnsi="Times New Roman"/>
          <w:sz w:val="24"/>
        </w:rPr>
        <w:t>Third, the property had a value of $5,000 or more and was [owned by] [under the care, custody, or control] of the [organization] [government] [government agency]; and</w:t>
      </w:r>
    </w:p>
    <w:p>
      <w:pPr>
        <w:spacing w:after="240"/>
        <w:ind w:firstLine="720"/>
      </w:pPr>
      <w:r>
        <w:rPr>
          <w:rFonts w:ascii="Times New Roman" w:hAnsi="Times New Roman"/>
          <w:sz w:val="24"/>
        </w:rPr>
        <w:t>Fourth, the [organization] [government] [government agency] received more than $10,000 in federal funding annually.</w:t>
      </w:r>
    </w:p>
    <w:p>
      <w:pPr>
        <w:jc w:val="center"/>
      </w:pPr>
      <w:r>
        <w:rPr>
          <w:rFonts w:ascii="Times New Roman" w:hAnsi="Times New Roman"/>
          <w:b/>
          <w:sz w:val="24"/>
        </w:rPr>
        <w:t>Comment</w:t>
      </w:r>
    </w:p>
    <w:p>
      <w:pPr>
        <w:spacing w:after="240"/>
        <w:ind w:firstLine="720"/>
      </w:pPr>
      <w:r>
        <w:rPr>
          <w:rFonts w:ascii="Times New Roman" w:hAnsi="Times New Roman"/>
          <w:i/>
          <w:sz w:val="24"/>
        </w:rPr>
        <w:t>See United States v. Cabrera</w:t>
      </w:r>
      <w:r>
        <w:rPr>
          <w:rFonts w:ascii="Times New Roman" w:hAnsi="Times New Roman"/>
          <w:sz w:val="24"/>
        </w:rPr>
        <w:t xml:space="preserve">, 328 F.3d 506, 509 (9th Cir. 2003) (citing </w:t>
      </w:r>
      <w:r>
        <w:rPr>
          <w:rFonts w:ascii="Times New Roman" w:hAnsi="Times New Roman"/>
          <w:i/>
          <w:sz w:val="24"/>
        </w:rPr>
        <w:t>United States v. Simas</w:t>
      </w:r>
      <w:r>
        <w:rPr>
          <w:rFonts w:ascii="Times New Roman" w:hAnsi="Times New Roman"/>
          <w:sz w:val="24"/>
        </w:rPr>
        <w:t>, 937 F.2d 459, 463 (9th Cir. 1991)).</w:t>
      </w:r>
    </w:p>
    <w:p>
      <w:pPr>
        <w:spacing w:after="240"/>
        <w:ind w:firstLine="720"/>
      </w:pPr>
      <w:r>
        <w:rPr>
          <w:rFonts w:ascii="Times New Roman" w:hAnsi="Times New Roman"/>
          <w:i/>
          <w:sz w:val="24"/>
        </w:rPr>
        <w:t>Revised September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