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4.13 Intent to Defraud</w:t>
      </w:r>
    </w:p>
    <w:p>
      <w:pPr>
        <w:spacing w:after="240"/>
        <w:ind w:firstLine="720"/>
      </w:pPr>
      <w:r>
        <w:rPr>
          <w:rFonts w:ascii="Times New Roman" w:hAnsi="Times New Roman"/>
          <w:sz w:val="24"/>
        </w:rPr>
        <w:t>An intent to defraud is an intent to deceive [or] [and] cheat.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While </w:t>
      </w:r>
      <w:r>
        <w:rPr>
          <w:rFonts w:ascii="Times New Roman" w:hAnsi="Times New Roman"/>
          <w:i/>
          <w:sz w:val="24"/>
        </w:rPr>
        <w:t>United States v. Shipsey</w:t>
      </w:r>
      <w:r>
        <w:rPr>
          <w:rFonts w:ascii="Times New Roman" w:hAnsi="Times New Roman"/>
          <w:sz w:val="24"/>
        </w:rPr>
        <w:t xml:space="preserve">, 363 F.3d 962 (9th Cir. 2004) explicitly approved the language of this instruction, </w:t>
      </w:r>
      <w:r>
        <w:rPr>
          <w:rFonts w:ascii="Times New Roman" w:hAnsi="Times New Roman"/>
          <w:i/>
          <w:sz w:val="24"/>
        </w:rPr>
        <w:t>United States v. Miller</w:t>
      </w:r>
      <w:r>
        <w:rPr>
          <w:rFonts w:ascii="Times New Roman" w:hAnsi="Times New Roman"/>
          <w:sz w:val="24"/>
        </w:rPr>
        <w:t xml:space="preserve">, 953 F.3d 1095, 1101 (9th Cir. 2020) expressly overruled </w:t>
      </w:r>
      <w:r>
        <w:rPr>
          <w:rFonts w:ascii="Times New Roman" w:hAnsi="Times New Roman"/>
          <w:i/>
          <w:sz w:val="24"/>
        </w:rPr>
        <w:t>Shipsey</w:t>
      </w:r>
      <w:r>
        <w:rPr>
          <w:rFonts w:ascii="Times New Roman" w:hAnsi="Times New Roman"/>
          <w:sz w:val="24"/>
        </w:rPr>
        <w:t xml:space="preserve">, holding that intent to defraud for purposes of wire fraud (18 U.S.C. § 1343) and mail fraud (18 U.S.C. § 1341) requires intent “to deceive </w:t>
      </w:r>
      <w:r>
        <w:rPr>
          <w:rFonts w:ascii="Times New Roman" w:hAnsi="Times New Roman"/>
          <w:i/>
          <w:sz w:val="24"/>
        </w:rPr>
        <w:t>and</w:t>
      </w:r>
      <w:r>
        <w:rPr>
          <w:rFonts w:ascii="Times New Roman" w:hAnsi="Times New Roman"/>
          <w:sz w:val="24"/>
        </w:rPr>
        <w:t xml:space="preserve"> cheat[.]” (emphasis in original); </w:t>
      </w:r>
      <w:r>
        <w:rPr>
          <w:rFonts w:ascii="Times New Roman" w:hAnsi="Times New Roman"/>
          <w:i/>
          <w:sz w:val="24"/>
        </w:rPr>
        <w:t>see also United States v. Saini</w:t>
      </w:r>
      <w:r>
        <w:rPr>
          <w:rFonts w:ascii="Times New Roman" w:hAnsi="Times New Roman"/>
          <w:sz w:val="24"/>
        </w:rPr>
        <w:t xml:space="preserve">, 23 F.4th 1155, 1163 (9th Cir. 2022) (holding that “ordinary meaning of ‘intent to defraud’ under § 1029(a)(3) and (4) requires an intent to deceive </w:t>
      </w:r>
      <w:r>
        <w:rPr>
          <w:rFonts w:ascii="Times New Roman" w:hAnsi="Times New Roman"/>
          <w:i/>
          <w:sz w:val="24"/>
        </w:rPr>
        <w:t xml:space="preserve">and </w:t>
      </w:r>
      <w:r>
        <w:rPr>
          <w:rFonts w:ascii="Times New Roman" w:hAnsi="Times New Roman"/>
          <w:sz w:val="24"/>
        </w:rPr>
        <w:t xml:space="preserve">cheat” (emphasis added)). However, for purposes of other statutes, the [or] [and] formulation may be permissible for this instruction. </w:t>
      </w:r>
      <w:r>
        <w:rPr>
          <w:rFonts w:ascii="Times New Roman" w:hAnsi="Times New Roman"/>
          <w:i/>
          <w:sz w:val="24"/>
        </w:rPr>
        <w:t>See United States v. Dearing</w:t>
      </w:r>
      <w:r>
        <w:rPr>
          <w:rFonts w:ascii="Times New Roman" w:hAnsi="Times New Roman"/>
          <w:sz w:val="24"/>
        </w:rPr>
        <w:t>, 504 F.3d 897 (9th Cir. 2007).</w:t>
      </w:r>
    </w:p>
    <w:p>
      <w:pPr>
        <w:spacing w:after="240"/>
        <w:ind w:firstLine="720"/>
      </w:pPr>
      <w:r>
        <w:rPr>
          <w:rFonts w:ascii="Times New Roman" w:hAnsi="Times New Roman"/>
          <w:i/>
          <w:sz w:val="24"/>
        </w:rPr>
        <w:t>Miller</w:t>
      </w:r>
      <w:r>
        <w:rPr>
          <w:rFonts w:ascii="Times New Roman" w:hAnsi="Times New Roman"/>
          <w:sz w:val="24"/>
        </w:rPr>
        <w:t xml:space="preserve"> did not disturb </w:t>
      </w:r>
      <w:r>
        <w:rPr>
          <w:rFonts w:ascii="Times New Roman" w:hAnsi="Times New Roman"/>
          <w:i/>
          <w:sz w:val="24"/>
        </w:rPr>
        <w:t>Shipsey</w:t>
      </w:r>
      <w:r>
        <w:rPr>
          <w:rFonts w:ascii="Times New Roman" w:hAnsi="Times New Roman"/>
          <w:sz w:val="24"/>
        </w:rPr>
        <w:t xml:space="preserve">’s ruling that because the trial court gave this instruction, “no good faith instruction was necessary at all.” </w:t>
      </w:r>
      <w:r>
        <w:rPr>
          <w:rFonts w:ascii="Times New Roman" w:hAnsi="Times New Roman"/>
          <w:i/>
          <w:sz w:val="24"/>
        </w:rPr>
        <w:t>Shipsey</w:t>
      </w:r>
      <w:r>
        <w:rPr>
          <w:rFonts w:ascii="Times New Roman" w:hAnsi="Times New Roman"/>
          <w:sz w:val="24"/>
        </w:rPr>
        <w:t xml:space="preserve">, 363 F.3d  at 967-68; </w:t>
      </w:r>
      <w:r>
        <w:rPr>
          <w:rFonts w:ascii="Times New Roman" w:hAnsi="Times New Roman"/>
          <w:i/>
          <w:sz w:val="24"/>
        </w:rPr>
        <w:t>see also United States v. Crandall</w:t>
      </w:r>
      <w:r>
        <w:rPr>
          <w:rFonts w:ascii="Times New Roman" w:hAnsi="Times New Roman"/>
          <w:sz w:val="24"/>
        </w:rPr>
        <w:t xml:space="preserve">, 525 F.3d 907, 911-12 (9th Cir. 2008) (in which the Ninth Circuit rejected a contention based on </w:t>
      </w:r>
      <w:r>
        <w:rPr>
          <w:rFonts w:ascii="Times New Roman" w:hAnsi="Times New Roman"/>
          <w:i/>
          <w:sz w:val="24"/>
        </w:rPr>
        <w:t>Arthur Andersen LLP v. United States</w:t>
      </w:r>
      <w:r>
        <w:rPr>
          <w:rFonts w:ascii="Times New Roman" w:hAnsi="Times New Roman"/>
          <w:sz w:val="24"/>
        </w:rPr>
        <w:t>, 544 U.S. 696, 704-06 (2005), an obstruction of justice case, that intent to deceive requires proof of “consciousness of wrongdoing” in a prosecution for mail or wire fraud and said that the Ninth Circuit model instruction that was given “adequately covered the defense theory of lack of intent.”).</w:t>
      </w:r>
    </w:p>
    <w:p>
      <w:pPr>
        <w:spacing w:after="240"/>
        <w:ind w:firstLine="720"/>
      </w:pPr>
      <w:r>
        <w:rPr>
          <w:rFonts w:ascii="Times New Roman" w:hAnsi="Times New Roman"/>
          <w:sz w:val="24"/>
        </w:rPr>
        <w:t>As to whether the defendant acted in good faith, and therefore did not act with an intent to defraud,</w:t>
      </w:r>
      <w:r>
        <w:rPr>
          <w:rFonts w:ascii="Times New Roman" w:hAnsi="Times New Roman"/>
          <w:i/>
          <w:sz w:val="24"/>
        </w:rPr>
        <w:t xml:space="preserve"> see</w:t>
      </w:r>
      <w:r>
        <w:rPr>
          <w:rFonts w:ascii="Times New Roman" w:hAnsi="Times New Roman"/>
          <w:sz w:val="24"/>
        </w:rPr>
        <w:t xml:space="preserve"> </w:t>
      </w:r>
      <w:r>
        <w:rPr>
          <w:rFonts w:ascii="Times New Roman" w:hAnsi="Times New Roman"/>
          <w:i/>
          <w:sz w:val="24"/>
        </w:rPr>
        <w:t>United States v. Molinaro</w:t>
      </w:r>
      <w:r>
        <w:rPr>
          <w:rFonts w:ascii="Times New Roman" w:hAnsi="Times New Roman"/>
          <w:sz w:val="24"/>
        </w:rPr>
        <w:t>, 11 F.3d 853, 863 (9th Cir. 1993), in which the Ninth Circuit approved the following instruction in a case involving the crime of bank fraud:</w:t>
      </w:r>
    </w:p>
    <w:p>
      <w:pPr>
        <w:spacing w:after="240"/>
        <w:ind w:firstLine="720"/>
      </w:pPr>
      <w:r>
        <w:rPr>
          <w:rFonts w:ascii="Times New Roman" w:hAnsi="Times New Roman"/>
          <w:sz w:val="24"/>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p>
    <w:p>
      <w:pPr>
        <w:spacing w:after="240"/>
        <w:ind w:firstLine="720"/>
      </w:pPr>
      <w:r>
        <w:rPr>
          <w:rFonts w:ascii="Times New Roman" w:hAnsi="Times New Roman"/>
          <w:i/>
          <w:sz w:val="24"/>
        </w:rPr>
        <w:t>Revised Sept. 2020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