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4.2 Aiding and Abetting (18 U.S.C. § 2(b))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A defendant may be found guilty of the crime(s) charged even if the defendant did not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personally commit the act(s) constituting the crime if the defendant willfully caused an act to be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done that if directly performed by him would be an offense against the United States. A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defendant who puts in motion or causes the commission of an indispensable element of the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offense may be found guilty as if he had committed this element himself.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See United States v. Ubaldo</w:t>
      </w:r>
      <w:r>
        <w:rPr>
          <w:rFonts w:ascii="Times New Roman" w:hAnsi="Times New Roman"/>
          <w:sz w:val="24"/>
        </w:rPr>
        <w:t xml:space="preserve">, 859 F.3d 690, 705-06 (9th Cir. 2017) (quoting </w:t>
      </w:r>
      <w:r>
        <w:rPr>
          <w:rFonts w:ascii="Times New Roman" w:hAnsi="Times New Roman"/>
          <w:i/>
          <w:sz w:val="24"/>
        </w:rPr>
        <w:t>United States v. Causey</w:t>
      </w:r>
      <w:r>
        <w:rPr>
          <w:rFonts w:ascii="Times New Roman" w:hAnsi="Times New Roman"/>
          <w:sz w:val="24"/>
        </w:rPr>
        <w:t xml:space="preserve">, 835 F.2d 1289, 1292 (9th Cir. 1987)); </w:t>
      </w:r>
      <w:r>
        <w:rPr>
          <w:rFonts w:ascii="Times New Roman" w:hAnsi="Times New Roman"/>
          <w:i/>
          <w:sz w:val="24"/>
        </w:rPr>
        <w:t>United States v. Vaughn</w:t>
      </w:r>
      <w:r>
        <w:rPr>
          <w:rFonts w:ascii="Times New Roman" w:hAnsi="Times New Roman"/>
          <w:sz w:val="24"/>
        </w:rPr>
        <w:t>, 797 F.2d 1485, 1490-91 (9th Cir. 1986).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Section 2(b) “does not require a defendant to have a duty to disclose if prosecuted for inaction,” </w:t>
      </w:r>
      <w:r>
        <w:rPr>
          <w:rFonts w:ascii="Times New Roman" w:hAnsi="Times New Roman"/>
          <w:i/>
          <w:sz w:val="24"/>
        </w:rPr>
        <w:t>United States v. Sullivan</w:t>
      </w:r>
      <w:r>
        <w:rPr>
          <w:rFonts w:ascii="Times New Roman" w:hAnsi="Times New Roman"/>
          <w:sz w:val="24"/>
        </w:rPr>
        <w:t xml:space="preserve">, 131 F.4th 776, 784 (9th Cir. 2025), so long as the third party who does the act has such a duty, </w:t>
      </w:r>
      <w:r>
        <w:rPr>
          <w:rFonts w:ascii="Times New Roman" w:hAnsi="Times New Roman"/>
          <w:i/>
          <w:sz w:val="24"/>
        </w:rPr>
        <w:t xml:space="preserve">id. </w:t>
      </w:r>
      <w:r>
        <w:rPr>
          <w:rFonts w:ascii="Times New Roman" w:hAnsi="Times New Roman"/>
          <w:sz w:val="24"/>
        </w:rPr>
        <w:t xml:space="preserve">(citing </w:t>
      </w:r>
      <w:r>
        <w:rPr>
          <w:rFonts w:ascii="Times New Roman" w:hAnsi="Times New Roman"/>
          <w:i/>
          <w:sz w:val="24"/>
        </w:rPr>
        <w:t>United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States v. Singh</w:t>
      </w:r>
      <w:r>
        <w:rPr>
          <w:rFonts w:ascii="Times New Roman" w:hAnsi="Times New Roman"/>
          <w:sz w:val="24"/>
        </w:rPr>
        <w:t>, 979 F.3d 697, 717-18 (9th Cir. 2020)).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June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