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4.5 Specific Intent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Committee recommends avoiding instructions that distinguish between “specific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intent” and “general intent.” The Ninth Circuit has stated: “Both the manual [on jury trial procedures] accompanying the Model Instructions and our case law discourage the use of generic intent instructions.” </w:t>
      </w:r>
      <w:r>
        <w:rPr>
          <w:rFonts w:ascii="Times New Roman" w:hAnsi="Times New Roman"/>
          <w:i/>
          <w:sz w:val="24"/>
        </w:rPr>
        <w:t>United States v. Bell</w:t>
      </w:r>
      <w:r>
        <w:rPr>
          <w:rFonts w:ascii="Times New Roman" w:hAnsi="Times New Roman"/>
          <w:sz w:val="24"/>
        </w:rPr>
        <w:t xml:space="preserve">, 303 F.3d 1187, 1191 (9th Cir. 2002). The “preferred practice” is to give an intent instruction that reflects the intent requirements of the offense charged. </w:t>
      </w:r>
      <w:r>
        <w:rPr>
          <w:rFonts w:ascii="Times New Roman" w:hAnsi="Times New Roman"/>
          <w:i/>
          <w:sz w:val="24"/>
        </w:rPr>
        <w:t>Id</w:t>
      </w:r>
      <w:r>
        <w:rPr>
          <w:rFonts w:ascii="Times New Roman" w:hAnsi="Times New Roman"/>
          <w:sz w:val="24"/>
        </w:rPr>
        <w:t>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If the statute at issue is silent regarding the necessary mens rea of the crime, the court should examine the statute’s legislative history. </w:t>
      </w:r>
      <w:r>
        <w:rPr>
          <w:rFonts w:ascii="Times New Roman" w:hAnsi="Times New Roman"/>
          <w:i/>
          <w:sz w:val="24"/>
        </w:rPr>
        <w:t>United States v. Nguyen</w:t>
      </w:r>
      <w:r>
        <w:rPr>
          <w:rFonts w:ascii="Times New Roman" w:hAnsi="Times New Roman"/>
          <w:sz w:val="24"/>
        </w:rPr>
        <w:t xml:space="preserve">, 73 F.3d 887, 891 (9th Cir. 1995). </w:t>
      </w:r>
      <w:r>
        <w:rPr>
          <w:rFonts w:ascii="Times New Roman" w:hAnsi="Times New Roman"/>
          <w:i/>
          <w:sz w:val="24"/>
        </w:rPr>
        <w:t>See also United States v. Barajas-Montiel,</w:t>
      </w:r>
      <w:r>
        <w:rPr>
          <w:rFonts w:ascii="Times New Roman" w:hAnsi="Times New Roman"/>
          <w:sz w:val="24"/>
        </w:rPr>
        <w:t xml:space="preserve">185 F.3d 947, 952 (9th Cir. 1999) (following </w:t>
      </w:r>
      <w:r>
        <w:rPr>
          <w:rFonts w:ascii="Times New Roman" w:hAnsi="Times New Roman"/>
          <w:i/>
          <w:sz w:val="24"/>
        </w:rPr>
        <w:t xml:space="preserve">Nguyen </w:t>
      </w:r>
      <w:r>
        <w:rPr>
          <w:rFonts w:ascii="Times New Roman" w:hAnsi="Times New Roman"/>
          <w:sz w:val="24"/>
        </w:rPr>
        <w:t xml:space="preserve">and holding that criminal intent is required for conviction of felony offenses of 8 U.S.C. § 1324(a)(2)(B)). If the court perceives an ambiguity regarding Congress’s intent to require a mens rea, the court should read such a requirement into the statute. </w:t>
      </w:r>
      <w:r>
        <w:rPr>
          <w:rFonts w:ascii="Times New Roman" w:hAnsi="Times New Roman"/>
          <w:i/>
          <w:sz w:val="24"/>
        </w:rPr>
        <w:t>Nguyen</w:t>
      </w:r>
      <w:r>
        <w:rPr>
          <w:rFonts w:ascii="Times New Roman" w:hAnsi="Times New Roman"/>
          <w:sz w:val="24"/>
        </w:rPr>
        <w:t xml:space="preserve">, 73 F.3d at 890-91. </w:t>
      </w:r>
      <w:r>
        <w:rPr>
          <w:rFonts w:ascii="Times New Roman" w:hAnsi="Times New Roman"/>
          <w:i/>
          <w:sz w:val="24"/>
        </w:rPr>
        <w:t>Accord, United States v. Johal</w:t>
      </w:r>
      <w:r>
        <w:rPr>
          <w:rFonts w:ascii="Times New Roman" w:hAnsi="Times New Roman"/>
          <w:sz w:val="24"/>
        </w:rPr>
        <w:t>, 428 F.3d 823, 826 (9th Cir. 2005) (requirement of some mens rea for conviction of crime is “firmly embedded”).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Most attempt crimes require specific intent. </w:t>
      </w:r>
      <w:r>
        <w:rPr>
          <w:rFonts w:ascii="Times New Roman" w:hAnsi="Times New Roman"/>
          <w:i/>
          <w:sz w:val="24"/>
        </w:rPr>
        <w:t>See United States v. Gracidas-Ulibarry</w:t>
      </w:r>
      <w:r>
        <w:rPr>
          <w:rFonts w:ascii="Times New Roman" w:hAnsi="Times New Roman"/>
          <w:sz w:val="24"/>
        </w:rPr>
        <w:t>, 231 F.3d 1188, 1192 (9th Cir. 2000) (en banc) (crime of attempted illegal reentry, for example, is specific intent offense).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