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4.7 Maliciously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There is no uniform definition of the term “maliciously.” When a statute provides a definition of a term, that definition controls. However, when a statute does not define a term, the term will generally be interpreted “‘by employing the ordinary, contemporary, and common meaning of the words that Congress used.’” </w:t>
      </w:r>
      <w:r>
        <w:rPr>
          <w:rFonts w:ascii="Times New Roman" w:hAnsi="Times New Roman"/>
          <w:i/>
          <w:sz w:val="24"/>
        </w:rPr>
        <w:t>United States v. Kelly</w:t>
      </w:r>
      <w:r>
        <w:rPr>
          <w:rFonts w:ascii="Times New Roman" w:hAnsi="Times New Roman"/>
          <w:sz w:val="24"/>
        </w:rPr>
        <w:t xml:space="preserve">, 676 F.3d 912, 917 (9th Cir. 2012) (quoting </w:t>
      </w:r>
      <w:r>
        <w:rPr>
          <w:rFonts w:ascii="Times New Roman" w:hAnsi="Times New Roman"/>
          <w:i/>
          <w:sz w:val="24"/>
        </w:rPr>
        <w:t>United States v. Iverson</w:t>
      </w:r>
      <w:r>
        <w:rPr>
          <w:rFonts w:ascii="Times New Roman" w:hAnsi="Times New Roman"/>
          <w:sz w:val="24"/>
        </w:rPr>
        <w:t xml:space="preserve">, 162 F.3d 1015, 1022 (9th Cir. 1988)). Furthermore, when a term “ha[s] accumulated settled meaning under . . . the common law . . . a court must infer, unless the statute otherwise dictates, that Congress means to incorporate the established meaning of [the term].” </w:t>
      </w:r>
      <w:r>
        <w:rPr>
          <w:rFonts w:ascii="Times New Roman" w:hAnsi="Times New Roman"/>
          <w:i/>
          <w:sz w:val="24"/>
        </w:rPr>
        <w:t>Id.</w:t>
      </w:r>
      <w:r>
        <w:rPr>
          <w:rFonts w:ascii="Times New Roman" w:hAnsi="Times New Roman"/>
          <w:sz w:val="24"/>
        </w:rPr>
        <w:t xml:space="preserve"> at 917 (quotation marks and citation omitted) (in prosecution under 18 U.S.C. § 1363, government was not required to prove that defendant harbored any “malevolence or ill-will”). One acts “maliciously” when he or she has the intent to do the prohibited act and has no justification or excuse. </w:t>
      </w:r>
      <w:r>
        <w:rPr>
          <w:rFonts w:ascii="Times New Roman" w:hAnsi="Times New Roman"/>
          <w:i/>
          <w:sz w:val="24"/>
        </w:rPr>
        <w:t>Id</w:t>
      </w:r>
      <w:r>
        <w:rPr>
          <w:rFonts w:ascii="Times New Roman" w:hAnsi="Times New Roman"/>
          <w:sz w:val="24"/>
        </w:rPr>
        <w:t>. at 918.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Mar.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