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5.4 Entrapment by Estoppel Defense</w:t>
      </w:r>
    </w:p>
    <w:p>
      <w:pPr>
        <w:spacing w:after="240"/>
        <w:ind w:firstLine="720"/>
      </w:pPr>
      <w:r>
        <w:rPr>
          <w:rFonts w:ascii="Times New Roman" w:hAnsi="Times New Roman"/>
          <w:sz w:val="24"/>
        </w:rPr>
        <w:t>The defendant contends that [[if] [although]] [[he] [she]] committed the acts charged in the</w:t>
      </w:r>
    </w:p>
    <w:p>
      <w:pPr>
        <w:spacing w:after="240"/>
        <w:ind w:firstLine="720"/>
      </w:pPr>
      <w:r>
        <w:rPr>
          <w:rFonts w:ascii="Times New Roman" w:hAnsi="Times New Roman"/>
          <w:sz w:val="24"/>
        </w:rPr>
        <w:t>indictment, [he] [she] did so reasonably relying upon the affirmative advice of an authorized</w:t>
      </w:r>
    </w:p>
    <w:p>
      <w:pPr>
        <w:spacing w:after="240"/>
        <w:ind w:firstLine="720"/>
      </w:pPr>
      <w:r>
        <w:rPr>
          <w:rFonts w:ascii="Times New Roman" w:hAnsi="Times New Roman"/>
          <w:sz w:val="24"/>
        </w:rPr>
        <w:t>[federal government official] [agent of the federal government].</w:t>
      </w:r>
    </w:p>
    <w:p>
      <w:pPr>
        <w:spacing w:after="240"/>
        <w:ind w:firstLine="720"/>
      </w:pPr>
      <w:r>
        <w:rPr>
          <w:rFonts w:ascii="Times New Roman" w:hAnsi="Times New Roman"/>
          <w:sz w:val="24"/>
        </w:rPr>
        <w:t>To establish this defense, the defendant has the burden to show by a preponderance of the</w:t>
      </w:r>
    </w:p>
    <w:p>
      <w:pPr>
        <w:spacing w:after="240"/>
        <w:ind w:firstLine="720"/>
      </w:pPr>
      <w:r>
        <w:rPr>
          <w:rFonts w:ascii="Times New Roman" w:hAnsi="Times New Roman"/>
          <w:sz w:val="24"/>
        </w:rPr>
        <w:t>evidence that:</w:t>
      </w:r>
    </w:p>
    <w:p>
      <w:pPr>
        <w:spacing w:after="240"/>
        <w:ind w:firstLine="720"/>
      </w:pPr>
      <w:r>
        <w:rPr>
          <w:rFonts w:ascii="Times New Roman" w:hAnsi="Times New Roman"/>
          <w:sz w:val="24"/>
        </w:rPr>
        <w:t>First, an authorized [federal government official] [agent of the federal government] was</w:t>
      </w:r>
    </w:p>
    <w:p>
      <w:pPr>
        <w:spacing w:after="240"/>
        <w:ind w:firstLine="720"/>
      </w:pPr>
      <w:r>
        <w:rPr>
          <w:rFonts w:ascii="Times New Roman" w:hAnsi="Times New Roman"/>
          <w:sz w:val="24"/>
        </w:rPr>
        <w:t>empowered to render the claimed erroneous advice;</w:t>
      </w:r>
    </w:p>
    <w:p>
      <w:pPr>
        <w:spacing w:after="240"/>
        <w:ind w:firstLine="720"/>
      </w:pPr>
      <w:r>
        <w:rPr>
          <w:rFonts w:ascii="Times New Roman" w:hAnsi="Times New Roman"/>
          <w:sz w:val="24"/>
        </w:rPr>
        <w:t>Second, the [federal government official] [agent of the federal government] had been</w:t>
      </w:r>
    </w:p>
    <w:p>
      <w:pPr>
        <w:spacing w:after="240"/>
        <w:ind w:firstLine="720"/>
      </w:pPr>
      <w:r>
        <w:rPr>
          <w:rFonts w:ascii="Times New Roman" w:hAnsi="Times New Roman"/>
          <w:sz w:val="24"/>
        </w:rPr>
        <w:t>made aware of all the relevant historical facts;</w:t>
      </w:r>
    </w:p>
    <w:p>
      <w:pPr>
        <w:spacing w:after="240"/>
        <w:ind w:firstLine="720"/>
      </w:pPr>
      <w:r>
        <w:rPr>
          <w:rFonts w:ascii="Times New Roman" w:hAnsi="Times New Roman"/>
          <w:sz w:val="24"/>
        </w:rPr>
        <w:t>Third, the [federal government official] [agent of the federal government] affirmatively</w:t>
      </w:r>
    </w:p>
    <w:p>
      <w:pPr>
        <w:spacing w:after="240"/>
        <w:ind w:firstLine="720"/>
      </w:pPr>
      <w:r>
        <w:rPr>
          <w:rFonts w:ascii="Times New Roman" w:hAnsi="Times New Roman"/>
          <w:sz w:val="24"/>
        </w:rPr>
        <w:t>told the defendant the proscribed conduct was permissible;</w:t>
      </w:r>
    </w:p>
    <w:p>
      <w:pPr>
        <w:spacing w:after="240"/>
        <w:ind w:firstLine="720"/>
      </w:pPr>
      <w:r>
        <w:rPr>
          <w:rFonts w:ascii="Times New Roman" w:hAnsi="Times New Roman"/>
          <w:sz w:val="24"/>
        </w:rPr>
        <w:t>Fourth, the defendant relied on the false information; and</w:t>
      </w:r>
    </w:p>
    <w:p>
      <w:pPr>
        <w:spacing w:after="240"/>
        <w:ind w:firstLine="720"/>
      </w:pPr>
      <w:r>
        <w:rPr>
          <w:rFonts w:ascii="Times New Roman" w:hAnsi="Times New Roman"/>
          <w:sz w:val="24"/>
        </w:rPr>
        <w:t>Fifth, this reliance was reasonable.</w:t>
      </w:r>
    </w:p>
    <w:p>
      <w:pPr>
        <w:spacing w:after="240"/>
        <w:ind w:firstLine="720"/>
      </w:pPr>
      <w:r>
        <w:rPr>
          <w:rFonts w:ascii="Times New Roman" w:hAnsi="Times New Roman"/>
          <w:sz w:val="24"/>
        </w:rPr>
        <w:t>In deciding this, you should consider all of the relevant circumstances, including the</w:t>
      </w:r>
    </w:p>
    <w:p>
      <w:pPr>
        <w:spacing w:after="240"/>
        <w:ind w:firstLine="720"/>
      </w:pPr>
      <w:r>
        <w:rPr>
          <w:rFonts w:ascii="Times New Roman" w:hAnsi="Times New Roman"/>
          <w:sz w:val="24"/>
        </w:rPr>
        <w:t>identity of the federal government [official] [agent], what the [official] [agent] said to the</w:t>
      </w:r>
    </w:p>
    <w:p>
      <w:pPr>
        <w:spacing w:after="240"/>
        <w:ind w:firstLine="720"/>
      </w:pPr>
      <w:r>
        <w:rPr>
          <w:rFonts w:ascii="Times New Roman" w:hAnsi="Times New Roman"/>
          <w:sz w:val="24"/>
        </w:rPr>
        <w:t>defendant, and how closely the defendant followed any instructions the [official] [agent] gave.</w:t>
      </w:r>
    </w:p>
    <w:p>
      <w:pPr>
        <w:spacing w:after="240"/>
        <w:ind w:firstLine="720"/>
      </w:pPr>
      <w:r>
        <w:rPr>
          <w:rFonts w:ascii="Times New Roman" w:hAnsi="Times New Roman"/>
          <w:sz w:val="24"/>
        </w:rPr>
        <w:t>A preponderance of the evidence means that you must be persuaded that the things the</w:t>
      </w:r>
    </w:p>
    <w:p>
      <w:pPr>
        <w:spacing w:after="240"/>
        <w:ind w:firstLine="720"/>
      </w:pPr>
      <w:r>
        <w:rPr>
          <w:rFonts w:ascii="Times New Roman" w:hAnsi="Times New Roman"/>
          <w:sz w:val="24"/>
        </w:rPr>
        <w:t>defendant seeks to prove are more probably true than not true. This is a lesser burden of proof</w:t>
      </w:r>
    </w:p>
    <w:p>
      <w:pPr>
        <w:spacing w:after="240"/>
        <w:ind w:firstLine="720"/>
      </w:pPr>
      <w:r>
        <w:rPr>
          <w:rFonts w:ascii="Times New Roman" w:hAnsi="Times New Roman"/>
          <w:sz w:val="24"/>
        </w:rPr>
        <w:t>than the government’s burden to prove beyond a reasonable doubt each element of [</w:t>
      </w:r>
      <w:r>
        <w:rPr>
          <w:rFonts w:ascii="Times New Roman" w:hAnsi="Times New Roman"/>
          <w:i/>
          <w:sz w:val="24"/>
          <w:u w:val="single"/>
        </w:rPr>
        <w:t>specify crime charged</w:t>
      </w:r>
      <w:r>
        <w:rPr>
          <w:rFonts w:ascii="Times New Roman" w:hAnsi="Times New Roman"/>
          <w:sz w:val="24"/>
        </w:rPr>
        <w:t>].</w:t>
      </w:r>
    </w:p>
    <w:p>
      <w:pPr>
        <w:spacing w:after="240"/>
        <w:ind w:firstLine="720"/>
      </w:pPr>
      <w:r>
        <w:rPr>
          <w:rFonts w:ascii="Times New Roman" w:hAnsi="Times New Roman"/>
          <w:sz w:val="24"/>
        </w:rPr>
        <w:t>If you find that the defendant has proved that [he] [she] reasonably relied upon the</w:t>
      </w:r>
    </w:p>
    <w:p>
      <w:pPr>
        <w:spacing w:after="240"/>
        <w:ind w:firstLine="720"/>
      </w:pPr>
      <w:r>
        <w:rPr>
          <w:rFonts w:ascii="Times New Roman" w:hAnsi="Times New Roman"/>
          <w:sz w:val="24"/>
        </w:rPr>
        <w:t>affirmative advice of the federal government [official] [agent], you must find the defendant not</w:t>
      </w:r>
    </w:p>
    <w:p>
      <w:pPr>
        <w:spacing w:after="240"/>
        <w:ind w:firstLine="720"/>
      </w:pPr>
      <w:r>
        <w:rPr>
          <w:rFonts w:ascii="Times New Roman" w:hAnsi="Times New Roman"/>
          <w:sz w:val="24"/>
        </w:rPr>
        <w:t>guilty of [</w:t>
      </w:r>
      <w:r>
        <w:rPr>
          <w:rFonts w:ascii="Times New Roman" w:hAnsi="Times New Roman"/>
          <w:i/>
          <w:sz w:val="24"/>
          <w:u w:val="single"/>
        </w:rPr>
        <w:t>specify crime charged</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For applications of this defense,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e.g</w:t>
      </w:r>
      <w:r>
        <w:rPr>
          <w:rFonts w:ascii="Times New Roman" w:hAnsi="Times New Roman"/>
          <w:sz w:val="24"/>
        </w:rPr>
        <w:t xml:space="preserve">., </w:t>
      </w:r>
      <w:r>
        <w:rPr>
          <w:rFonts w:ascii="Times New Roman" w:hAnsi="Times New Roman"/>
          <w:i/>
          <w:sz w:val="24"/>
        </w:rPr>
        <w:t>United States v. Lynch</w:t>
      </w:r>
      <w:r>
        <w:rPr>
          <w:rFonts w:ascii="Times New Roman" w:hAnsi="Times New Roman"/>
          <w:sz w:val="24"/>
        </w:rPr>
        <w:t>, 903 F.3d 1061, 1075-78</w:t>
      </w:r>
    </w:p>
    <w:p>
      <w:pPr>
        <w:spacing w:after="240"/>
        <w:ind w:firstLine="720"/>
      </w:pPr>
      <w:r>
        <w:rPr>
          <w:rFonts w:ascii="Times New Roman" w:hAnsi="Times New Roman"/>
          <w:sz w:val="24"/>
        </w:rPr>
        <w:t xml:space="preserve">(9th Cir. 2018) (marijuana dispensary); </w:t>
      </w:r>
      <w:r>
        <w:rPr>
          <w:rFonts w:ascii="Times New Roman" w:hAnsi="Times New Roman"/>
          <w:i/>
          <w:sz w:val="24"/>
        </w:rPr>
        <w:t>United States v. Schafer</w:t>
      </w:r>
      <w:r>
        <w:rPr>
          <w:rFonts w:ascii="Times New Roman" w:hAnsi="Times New Roman"/>
          <w:sz w:val="24"/>
        </w:rPr>
        <w:t>, 625 F.3d 629, 637 (9th Cir.</w:t>
      </w:r>
    </w:p>
    <w:p>
      <w:pPr>
        <w:spacing w:after="240"/>
        <w:ind w:firstLine="720"/>
      </w:pPr>
      <w:r>
        <w:rPr>
          <w:rFonts w:ascii="Times New Roman" w:hAnsi="Times New Roman"/>
          <w:sz w:val="24"/>
        </w:rPr>
        <w:t xml:space="preserve">2010) (marijuana manufacturing); </w:t>
      </w:r>
      <w:r>
        <w:rPr>
          <w:rFonts w:ascii="Times New Roman" w:hAnsi="Times New Roman"/>
          <w:i/>
          <w:sz w:val="24"/>
        </w:rPr>
        <w:t>United States v. Batterjee</w:t>
      </w:r>
      <w:r>
        <w:rPr>
          <w:rFonts w:ascii="Times New Roman" w:hAnsi="Times New Roman"/>
          <w:sz w:val="24"/>
        </w:rPr>
        <w:t>, 361 F.3d 1210, 1216 (9th Cir.</w:t>
      </w:r>
    </w:p>
    <w:p>
      <w:pPr>
        <w:spacing w:after="240"/>
        <w:ind w:firstLine="720"/>
      </w:pPr>
      <w:r>
        <w:rPr>
          <w:rFonts w:ascii="Times New Roman" w:hAnsi="Times New Roman"/>
          <w:sz w:val="24"/>
        </w:rPr>
        <w:t xml:space="preserve">2004) (firearms offense); </w:t>
      </w:r>
      <w:r>
        <w:rPr>
          <w:rFonts w:ascii="Times New Roman" w:hAnsi="Times New Roman"/>
          <w:i/>
          <w:sz w:val="24"/>
        </w:rPr>
        <w:t>United States v. Ramirez-Valencia</w:t>
      </w:r>
      <w:r>
        <w:rPr>
          <w:rFonts w:ascii="Times New Roman" w:hAnsi="Times New Roman"/>
          <w:sz w:val="24"/>
        </w:rPr>
        <w:t>, 202 F.3d 1106, 1109-10 (9th Cir.</w:t>
      </w:r>
    </w:p>
    <w:p>
      <w:pPr>
        <w:spacing w:after="240"/>
        <w:ind w:firstLine="720"/>
      </w:pPr>
      <w:r>
        <w:rPr>
          <w:rFonts w:ascii="Times New Roman" w:hAnsi="Times New Roman"/>
          <w:sz w:val="24"/>
        </w:rPr>
        <w:t>2000) (immigration offense).</w:t>
      </w:r>
    </w:p>
    <w:p>
      <w:pPr>
        <w:spacing w:after="240"/>
        <w:ind w:firstLine="720"/>
      </w:pPr>
      <w:r>
        <w:rPr>
          <w:rFonts w:ascii="Times New Roman" w:hAnsi="Times New Roman"/>
          <w:sz w:val="24"/>
        </w:rPr>
        <w:t>This defense applies only to advice from federal officials or authorized agents of the</w:t>
      </w:r>
    </w:p>
    <w:p>
      <w:pPr>
        <w:spacing w:after="240"/>
        <w:ind w:firstLine="720"/>
      </w:pPr>
      <w:r>
        <w:rPr>
          <w:rFonts w:ascii="Times New Roman" w:hAnsi="Times New Roman"/>
          <w:sz w:val="24"/>
        </w:rPr>
        <w:t xml:space="preserve">federal government and not state or local officials.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e.g</w:t>
      </w:r>
      <w:r>
        <w:rPr>
          <w:rFonts w:ascii="Times New Roman" w:hAnsi="Times New Roman"/>
          <w:sz w:val="24"/>
        </w:rPr>
        <w:t xml:space="preserve">., </w:t>
      </w:r>
      <w:r>
        <w:rPr>
          <w:rFonts w:ascii="Times New Roman" w:hAnsi="Times New Roman"/>
          <w:i/>
          <w:sz w:val="24"/>
        </w:rPr>
        <w:t>United States v. Mack</w:t>
      </w:r>
      <w:r>
        <w:rPr>
          <w:rFonts w:ascii="Times New Roman" w:hAnsi="Times New Roman"/>
          <w:sz w:val="24"/>
        </w:rPr>
        <w:t>, 164 F.3d</w:t>
      </w:r>
    </w:p>
    <w:p>
      <w:pPr>
        <w:spacing w:after="240"/>
        <w:ind w:firstLine="720"/>
      </w:pPr>
      <w:r>
        <w:rPr>
          <w:rFonts w:ascii="Times New Roman" w:hAnsi="Times New Roman"/>
          <w:sz w:val="24"/>
        </w:rPr>
        <w:t xml:space="preserve">467, 474 (9th Cir. 1999) (rejecting entrapment by estoppel defense “because Mack did not rely on the advice or authority of federal officials or agents”) (emphasis omitted)); </w:t>
      </w:r>
      <w:r>
        <w:rPr>
          <w:rFonts w:ascii="Times New Roman" w:hAnsi="Times New Roman"/>
          <w:i/>
          <w:sz w:val="24"/>
        </w:rPr>
        <w:t>United States v. Collins</w:t>
      </w:r>
      <w:r>
        <w:rPr>
          <w:rFonts w:ascii="Times New Roman" w:hAnsi="Times New Roman"/>
          <w:sz w:val="24"/>
        </w:rPr>
        <w:t>, 61 F.3d 1379, 1385 (9th Cir. 1995) (noting entrapment by estoppel defense applies only when defendant relies either on “a federal government official empowered to render the claimed erroneous advice, or on an authorized agent of the federal government, who has been granted the authority from the federal government to render such advice”) (citation omitted).</w:t>
      </w:r>
    </w:p>
    <w:p>
      <w:pPr>
        <w:spacing w:after="240"/>
        <w:ind w:firstLine="720"/>
      </w:pPr>
      <w:r>
        <w:rPr>
          <w:rFonts w:ascii="Times New Roman" w:hAnsi="Times New Roman"/>
          <w:sz w:val="24"/>
        </w:rPr>
        <w:t>Regarding “authorized agents,” the Ninth Circuit has held that “[c]learly, the United</w:t>
      </w:r>
    </w:p>
    <w:p>
      <w:pPr>
        <w:spacing w:after="240"/>
        <w:ind w:firstLine="720"/>
      </w:pPr>
      <w:r>
        <w:rPr>
          <w:rFonts w:ascii="Times New Roman" w:hAnsi="Times New Roman"/>
          <w:sz w:val="24"/>
        </w:rPr>
        <w:t>States Government has made licensed firearms dealers federal agents in connection with the</w:t>
      </w:r>
    </w:p>
    <w:p>
      <w:pPr>
        <w:spacing w:after="240"/>
        <w:ind w:firstLine="720"/>
      </w:pPr>
      <w:r>
        <w:rPr>
          <w:rFonts w:ascii="Times New Roman" w:hAnsi="Times New Roman"/>
          <w:sz w:val="24"/>
        </w:rPr>
        <w:t xml:space="preserve">gathering and dispensing of information on the purchase of firearms. Under these circumstances, we believe that a buyer has the right to rely on the representations of a licensed firearms dealer, who has been made aware of all the relevant historical facts . . . .” </w:t>
      </w:r>
      <w:r>
        <w:rPr>
          <w:rFonts w:ascii="Times New Roman" w:hAnsi="Times New Roman"/>
          <w:i/>
          <w:sz w:val="24"/>
        </w:rPr>
        <w:t>United States v. Tallmadge</w:t>
      </w:r>
      <w:r>
        <w:rPr>
          <w:rFonts w:ascii="Times New Roman" w:hAnsi="Times New Roman"/>
          <w:sz w:val="24"/>
        </w:rPr>
        <w:t xml:space="preserve">, 829 F.2d 767, 774 (9th Cir. 1987). </w:t>
      </w:r>
      <w:r>
        <w:rPr>
          <w:rFonts w:ascii="Times New Roman" w:hAnsi="Times New Roman"/>
          <w:i/>
          <w:sz w:val="24"/>
        </w:rPr>
        <w:t>See also United States v. Brebner</w:t>
      </w:r>
      <w:r>
        <w:rPr>
          <w:rFonts w:ascii="Times New Roman" w:hAnsi="Times New Roman"/>
          <w:sz w:val="24"/>
        </w:rPr>
        <w:t>, 951 F.2d 1017, 1027 (9th Cir. 1991) (noting defendant may rely on advice of either a federal government official or “an authorized agent of the federal government who, like licensed firearms dealers, has been granted the authority from the federal government to render such advice”).</w:t>
      </w:r>
    </w:p>
    <w:p>
      <w:pPr>
        <w:spacing w:after="240"/>
        <w:ind w:firstLine="720"/>
      </w:pPr>
      <w:r>
        <w:rPr>
          <w:rFonts w:ascii="Times New Roman" w:hAnsi="Times New Roman"/>
          <w:sz w:val="24"/>
        </w:rPr>
        <w:t>“To establish affirmative authorization, a defendant must do more than show that the</w:t>
      </w:r>
    </w:p>
    <w:p>
      <w:pPr>
        <w:spacing w:after="240"/>
        <w:ind w:firstLine="720"/>
      </w:pPr>
      <w:r>
        <w:rPr>
          <w:rFonts w:ascii="Times New Roman" w:hAnsi="Times New Roman"/>
          <w:sz w:val="24"/>
        </w:rPr>
        <w:t>government made vague or even contradictory statements. Instead, the defendant must show that</w:t>
      </w:r>
    </w:p>
    <w:p>
      <w:pPr>
        <w:spacing w:after="240"/>
        <w:ind w:firstLine="720"/>
      </w:pPr>
      <w:r>
        <w:rPr>
          <w:rFonts w:ascii="Times New Roman" w:hAnsi="Times New Roman"/>
          <w:sz w:val="24"/>
        </w:rPr>
        <w:t xml:space="preserve">the government affirmatively told him the proscribed conduct was permissible.” </w:t>
      </w:r>
      <w:r>
        <w:rPr>
          <w:rFonts w:ascii="Times New Roman" w:hAnsi="Times New Roman"/>
          <w:i/>
          <w:sz w:val="24"/>
        </w:rPr>
        <w:t>Lynch</w:t>
      </w:r>
      <w:r>
        <w:rPr>
          <w:rFonts w:ascii="Times New Roman" w:hAnsi="Times New Roman"/>
          <w:sz w:val="24"/>
        </w:rPr>
        <w:t>, 903</w:t>
      </w:r>
    </w:p>
    <w:p>
      <w:pPr>
        <w:spacing w:after="240"/>
        <w:ind w:firstLine="720"/>
      </w:pPr>
      <w:r>
        <w:rPr>
          <w:rFonts w:ascii="Times New Roman" w:hAnsi="Times New Roman"/>
          <w:sz w:val="24"/>
        </w:rPr>
        <w:t>F.3d at 1076 (citations and internal quotations marks omitted) (rejecting entrapment by estoppel</w:t>
      </w:r>
    </w:p>
    <w:p>
      <w:pPr>
        <w:spacing w:after="240"/>
        <w:ind w:firstLine="720"/>
      </w:pPr>
      <w:r>
        <w:rPr>
          <w:rFonts w:ascii="Times New Roman" w:hAnsi="Times New Roman"/>
          <w:sz w:val="24"/>
        </w:rPr>
        <w:t>defense when government official advised that legality of marijuana business “was up to the</w:t>
      </w:r>
    </w:p>
    <w:p>
      <w:pPr>
        <w:spacing w:after="240"/>
        <w:ind w:firstLine="720"/>
      </w:pPr>
      <w:r>
        <w:rPr>
          <w:rFonts w:ascii="Times New Roman" w:hAnsi="Times New Roman"/>
          <w:sz w:val="24"/>
        </w:rPr>
        <w:t>cities and counties to decide how they wanted to handle the matter” because statement was too</w:t>
      </w:r>
    </w:p>
    <w:p>
      <w:pPr>
        <w:spacing w:after="240"/>
        <w:ind w:firstLine="720"/>
      </w:pPr>
      <w:r>
        <w:rPr>
          <w:rFonts w:ascii="Times New Roman" w:hAnsi="Times New Roman"/>
          <w:sz w:val="24"/>
        </w:rPr>
        <w:t>vague and ambiguous to qualify as affirmative authorization).</w:t>
      </w:r>
    </w:p>
    <w:p>
      <w:pPr>
        <w:spacing w:after="240"/>
        <w:ind w:firstLine="720"/>
      </w:pPr>
      <w:r>
        <w:rPr>
          <w:rFonts w:ascii="Times New Roman" w:hAnsi="Times New Roman"/>
          <w:sz w:val="24"/>
        </w:rPr>
        <w:t>Reasonable reliance occurs if “a person sincerely desirous of obeying the law would</w:t>
      </w:r>
    </w:p>
    <w:p>
      <w:pPr>
        <w:spacing w:after="240"/>
        <w:ind w:firstLine="720"/>
      </w:pPr>
      <w:r>
        <w:rPr>
          <w:rFonts w:ascii="Times New Roman" w:hAnsi="Times New Roman"/>
          <w:sz w:val="24"/>
        </w:rPr>
        <w:t>have accepted the information as true, and would not have been put on notice to make further</w:t>
      </w:r>
    </w:p>
    <w:p>
      <w:pPr>
        <w:spacing w:after="240"/>
        <w:ind w:firstLine="720"/>
      </w:pPr>
      <w:r>
        <w:rPr>
          <w:rFonts w:ascii="Times New Roman" w:hAnsi="Times New Roman"/>
          <w:sz w:val="24"/>
        </w:rPr>
        <w:t xml:space="preserve">inquiries.” </w:t>
      </w:r>
      <w:r>
        <w:rPr>
          <w:rFonts w:ascii="Times New Roman" w:hAnsi="Times New Roman"/>
          <w:i/>
          <w:sz w:val="24"/>
        </w:rPr>
        <w:t>Id</w:t>
      </w:r>
      <w:r>
        <w:rPr>
          <w:rFonts w:ascii="Times New Roman" w:hAnsi="Times New Roman"/>
          <w:sz w:val="24"/>
        </w:rPr>
        <w:t xml:space="preserve">. at 1077 (citation omitted). </w:t>
      </w:r>
      <w:r>
        <w:rPr>
          <w:rFonts w:ascii="Times New Roman" w:hAnsi="Times New Roman"/>
          <w:i/>
          <w:sz w:val="24"/>
        </w:rPr>
        <w:t>See also Batterjee</w:t>
      </w:r>
      <w:r>
        <w:rPr>
          <w:rFonts w:ascii="Times New Roman" w:hAnsi="Times New Roman"/>
          <w:sz w:val="24"/>
        </w:rPr>
        <w:t>, 361 F.3d at 1217</w:t>
      </w:r>
    </w:p>
    <w:p>
      <w:pPr>
        <w:spacing w:after="240"/>
        <w:ind w:firstLine="720"/>
      </w:pPr>
      <w:r>
        <w:rPr>
          <w:rFonts w:ascii="Times New Roman" w:hAnsi="Times New Roman"/>
          <w:sz w:val="24"/>
        </w:rPr>
        <w:t>(holding that defendant dealing with complicated intersection of immigration and criminal law,</w:t>
      </w:r>
    </w:p>
    <w:p>
      <w:pPr>
        <w:spacing w:after="240"/>
        <w:ind w:firstLine="720"/>
      </w:pPr>
      <w:r>
        <w:rPr>
          <w:rFonts w:ascii="Times New Roman" w:hAnsi="Times New Roman"/>
          <w:sz w:val="24"/>
        </w:rPr>
        <w:t>who was told by federal licensee that he was “legally purchasing and possessing a firearm,”</w:t>
      </w:r>
    </w:p>
    <w:p>
      <w:pPr>
        <w:spacing w:after="240"/>
        <w:ind w:firstLine="720"/>
      </w:pPr>
      <w:r>
        <w:rPr>
          <w:rFonts w:ascii="Times New Roman" w:hAnsi="Times New Roman"/>
          <w:sz w:val="24"/>
        </w:rPr>
        <w:t>could reasonably rely on those assurances because he had no reason to believe he needed to</w:t>
      </w:r>
    </w:p>
    <w:p>
      <w:pPr>
        <w:spacing w:after="240"/>
        <w:ind w:firstLine="720"/>
      </w:pPr>
      <w:r>
        <w:rPr>
          <w:rFonts w:ascii="Times New Roman" w:hAnsi="Times New Roman"/>
          <w:sz w:val="24"/>
        </w:rPr>
        <w:t>inquire any further).</w:t>
      </w:r>
    </w:p>
    <w:p>
      <w:pPr>
        <w:spacing w:after="240"/>
        <w:ind w:firstLine="720"/>
      </w:pPr>
      <w:r>
        <w:rPr>
          <w:rFonts w:ascii="Times New Roman" w:hAnsi="Times New Roman"/>
          <w:sz w:val="24"/>
        </w:rPr>
        <w:t>No Ninth Circuit authority clearly sets out the burden that a defendant must satisfy to</w:t>
      </w:r>
    </w:p>
    <w:p>
      <w:pPr>
        <w:spacing w:after="240"/>
        <w:ind w:firstLine="720"/>
      </w:pPr>
      <w:r>
        <w:rPr>
          <w:rFonts w:ascii="Times New Roman" w:hAnsi="Times New Roman"/>
          <w:sz w:val="24"/>
        </w:rPr>
        <w:t>make out an entrapment by estoppel defense. However, the Ninth Circuit has held that the</w:t>
      </w:r>
    </w:p>
    <w:p>
      <w:pPr>
        <w:spacing w:after="240"/>
        <w:ind w:firstLine="720"/>
      </w:pPr>
      <w:r>
        <w:rPr>
          <w:rFonts w:ascii="Times New Roman" w:hAnsi="Times New Roman"/>
          <w:sz w:val="24"/>
        </w:rPr>
        <w:t>entrapment by estoppel defense is very similar to the public authority defense, and the</w:t>
      </w:r>
    </w:p>
    <w:p>
      <w:pPr>
        <w:spacing w:after="240"/>
        <w:ind w:firstLine="720"/>
      </w:pPr>
      <w:r>
        <w:rPr>
          <w:rFonts w:ascii="Times New Roman" w:hAnsi="Times New Roman"/>
          <w:sz w:val="24"/>
        </w:rPr>
        <w:t xml:space="preserve">preponderance standard applies to the public authority defense.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e.g</w:t>
      </w:r>
      <w:r>
        <w:rPr>
          <w:rFonts w:ascii="Times New Roman" w:hAnsi="Times New Roman"/>
          <w:sz w:val="24"/>
        </w:rPr>
        <w:t xml:space="preserve">., </w:t>
      </w:r>
      <w:r>
        <w:rPr>
          <w:rFonts w:ascii="Times New Roman" w:hAnsi="Times New Roman"/>
          <w:i/>
          <w:sz w:val="24"/>
        </w:rPr>
        <w:t>United States v. Doe</w:t>
      </w:r>
      <w:r>
        <w:rPr>
          <w:rFonts w:ascii="Times New Roman" w:hAnsi="Times New Roman"/>
          <w:sz w:val="24"/>
        </w:rPr>
        <w:t>,</w:t>
      </w:r>
    </w:p>
    <w:p>
      <w:pPr>
        <w:spacing w:after="240"/>
        <w:ind w:firstLine="720"/>
      </w:pPr>
      <w:r>
        <w:rPr>
          <w:rFonts w:ascii="Times New Roman" w:hAnsi="Times New Roman"/>
          <w:sz w:val="24"/>
        </w:rPr>
        <w:t>705 F.3d 1134, 1146 (9th Cir. 2013) (holding that defendant had burden of proving public</w:t>
      </w:r>
    </w:p>
    <w:p>
      <w:pPr>
        <w:spacing w:after="240"/>
        <w:ind w:firstLine="720"/>
      </w:pPr>
      <w:r>
        <w:rPr>
          <w:rFonts w:ascii="Times New Roman" w:hAnsi="Times New Roman"/>
          <w:sz w:val="24"/>
        </w:rPr>
        <w:t>authority defense by preponderance of the evidence because defense did not serve to negate any</w:t>
      </w:r>
    </w:p>
    <w:p>
      <w:pPr>
        <w:spacing w:after="240"/>
        <w:ind w:firstLine="720"/>
      </w:pPr>
      <w:r>
        <w:rPr>
          <w:rFonts w:ascii="Times New Roman" w:hAnsi="Times New Roman"/>
          <w:sz w:val="24"/>
        </w:rPr>
        <w:t xml:space="preserve">elements of charged offenses); </w:t>
      </w:r>
      <w:r>
        <w:rPr>
          <w:rFonts w:ascii="Times New Roman" w:hAnsi="Times New Roman"/>
          <w:i/>
          <w:sz w:val="24"/>
        </w:rPr>
        <w:t>United States v. Burrows</w:t>
      </w:r>
      <w:r>
        <w:rPr>
          <w:rFonts w:ascii="Times New Roman" w:hAnsi="Times New Roman"/>
          <w:sz w:val="24"/>
        </w:rPr>
        <w:t>, 36 F.3d 875, 882 (9th Cir. 1994) (“The</w:t>
      </w:r>
    </w:p>
    <w:p>
      <w:pPr>
        <w:spacing w:after="240"/>
        <w:ind w:firstLine="720"/>
      </w:pPr>
      <w:r>
        <w:rPr>
          <w:rFonts w:ascii="Times New Roman" w:hAnsi="Times New Roman"/>
          <w:sz w:val="24"/>
        </w:rPr>
        <w:t>difference between the entrapment by estoppel defense and the public authority defense is not</w:t>
      </w:r>
    </w:p>
    <w:p>
      <w:pPr>
        <w:spacing w:after="240"/>
        <w:ind w:firstLine="720"/>
      </w:pPr>
      <w:r>
        <w:rPr>
          <w:rFonts w:ascii="Times New Roman" w:hAnsi="Times New Roman"/>
          <w:sz w:val="24"/>
        </w:rPr>
        <w:t xml:space="preserve">great.”). </w:t>
      </w:r>
      <w:r>
        <w:rPr>
          <w:rFonts w:ascii="Times New Roman" w:hAnsi="Times New Roman"/>
          <w:i/>
          <w:sz w:val="24"/>
        </w:rPr>
        <w:t>See also United States v. Beaty</w:t>
      </w:r>
      <w:r>
        <w:rPr>
          <w:rFonts w:ascii="Times New Roman" w:hAnsi="Times New Roman"/>
          <w:sz w:val="24"/>
        </w:rPr>
        <w:t>, 245 F.3d 617, 623 (6th Cir. 2001) (applying</w:t>
      </w:r>
    </w:p>
    <w:p>
      <w:pPr>
        <w:spacing w:after="240"/>
        <w:ind w:firstLine="720"/>
      </w:pPr>
      <w:r>
        <w:rPr>
          <w:rFonts w:ascii="Times New Roman" w:hAnsi="Times New Roman"/>
          <w:sz w:val="24"/>
        </w:rPr>
        <w:t xml:space="preserve">preponderance standard); </w:t>
      </w:r>
      <w:r>
        <w:rPr>
          <w:rFonts w:ascii="Times New Roman" w:hAnsi="Times New Roman"/>
          <w:i/>
          <w:sz w:val="24"/>
        </w:rPr>
        <w:t>United States v. Stewart</w:t>
      </w:r>
      <w:r>
        <w:rPr>
          <w:rFonts w:ascii="Times New Roman" w:hAnsi="Times New Roman"/>
          <w:sz w:val="24"/>
        </w:rPr>
        <w:t>, 185 F.3d 112, 124 (3rd Cir. 1999) (applying</w:t>
      </w:r>
    </w:p>
    <w:p>
      <w:pPr>
        <w:spacing w:after="240"/>
        <w:ind w:firstLine="720"/>
      </w:pPr>
      <w:r>
        <w:rPr>
          <w:rFonts w:ascii="Times New Roman" w:hAnsi="Times New Roman"/>
          <w:sz w:val="24"/>
        </w:rPr>
        <w:t>preponderance standard).</w:t>
      </w:r>
    </w:p>
    <w:p>
      <w:pPr>
        <w:spacing w:after="240"/>
        <w:ind w:firstLine="720"/>
      </w:pPr>
      <w:r>
        <w:rPr>
          <w:rFonts w:ascii="Times New Roman" w:hAnsi="Times New Roman"/>
          <w:i/>
          <w:sz w:val="24"/>
        </w:rPr>
        <w:t>Revised April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