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6.11 Separate Consideration of Multiple Counts—Single Defendant</w:t>
      </w:r>
    </w:p>
    <w:p>
      <w:pPr>
        <w:spacing w:after="240"/>
        <w:ind w:firstLine="720"/>
      </w:pPr>
      <w:r>
        <w:rPr>
          <w:rFonts w:ascii="Times New Roman" w:hAnsi="Times New Roman"/>
          <w:sz w:val="24"/>
        </w:rPr>
        <w:t>A separate crime is charged against the defendant in each count. You must decide each count separately. Your verdict on one count should not control your verdict on any other count.</w:t>
      </w:r>
    </w:p>
    <w:p>
      <w:pPr>
        <w:jc w:val="center"/>
      </w:pPr>
      <w:r>
        <w:rPr>
          <w:rFonts w:ascii="Times New Roman" w:hAnsi="Times New Roman"/>
          <w:b/>
          <w:sz w:val="24"/>
        </w:rPr>
        <w:t>Comment</w:t>
      </w:r>
    </w:p>
    <w:p>
      <w:pPr>
        <w:spacing w:after="240"/>
        <w:ind w:firstLine="720"/>
      </w:pPr>
      <w:r>
        <w:rPr>
          <w:rFonts w:ascii="Times New Roman" w:hAnsi="Times New Roman"/>
          <w:sz w:val="24"/>
        </w:rPr>
        <w:t>Use this instruction when there is one defendant charged with multiple counts. If the case involves multiple defendants and multiple counts, use Instruction 6.13 (Separate Consideration of Multiple Counts</w:t>
      </w:r>
      <w:r>
        <w:rPr>
          <w:rFonts w:ascii="Times New Roman" w:hAnsi="Times New Roman"/>
          <w:b/>
          <w:sz w:val="24"/>
        </w:rPr>
        <w:t>—</w:t>
      </w:r>
      <w:r>
        <w:rPr>
          <w:rFonts w:ascii="Times New Roman" w:hAnsi="Times New Roman"/>
          <w:sz w:val="24"/>
        </w:rPr>
        <w:t>Multiple Defendants) instead. If more than one defendant is charged with the same crime, use Instruction 6.12 (Separate Consideration of Single Count</w:t>
      </w:r>
      <w:r>
        <w:rPr>
          <w:rFonts w:ascii="Times New Roman" w:hAnsi="Times New Roman"/>
          <w:b/>
          <w:sz w:val="24"/>
        </w:rPr>
        <w:t>—</w:t>
      </w:r>
      <w:r>
        <w:rPr>
          <w:rFonts w:ascii="Times New Roman" w:hAnsi="Times New Roman"/>
          <w:sz w:val="24"/>
        </w:rPr>
        <w:t>Multiple Defendants).</w:t>
      </w:r>
    </w:p>
    <w:p>
      <w:pPr>
        <w:spacing w:after="240"/>
        <w:ind w:firstLine="720"/>
      </w:pPr>
      <w:r>
        <w:rPr>
          <w:rFonts w:ascii="Times New Roman" w:hAnsi="Times New Roman"/>
          <w:sz w:val="24"/>
        </w:rPr>
        <w:t xml:space="preserve">When the counts are satisfactorily distinguished in the jury charge, the jury will be presumed to have followed instructions and not to have confused the evidence pertinent to the individual counts. </w:t>
      </w:r>
      <w:r>
        <w:rPr>
          <w:rFonts w:ascii="Times New Roman" w:hAnsi="Times New Roman"/>
          <w:i/>
          <w:sz w:val="24"/>
        </w:rPr>
        <w:t>United States v. Parker</w:t>
      </w:r>
      <w:r>
        <w:rPr>
          <w:rFonts w:ascii="Times New Roman" w:hAnsi="Times New Roman"/>
          <w:sz w:val="24"/>
        </w:rPr>
        <w:t xml:space="preserve">, 432 F.2d 1251, 1255 (9th Cir. 1970); </w:t>
      </w:r>
      <w:r>
        <w:rPr>
          <w:rFonts w:ascii="Times New Roman" w:hAnsi="Times New Roman"/>
          <w:i/>
          <w:sz w:val="24"/>
        </w:rPr>
        <w:t>see also United States v. Robertson</w:t>
      </w:r>
      <w:r>
        <w:rPr>
          <w:rFonts w:ascii="Times New Roman" w:hAnsi="Times New Roman"/>
          <w:sz w:val="24"/>
        </w:rPr>
        <w:t xml:space="preserve">, 15 F.3d 862, 869 (9th Cir. 1994), </w:t>
      </w:r>
      <w:r>
        <w:rPr>
          <w:rFonts w:ascii="Times New Roman" w:hAnsi="Times New Roman"/>
          <w:i/>
          <w:sz w:val="24"/>
        </w:rPr>
        <w:t>rev’d on other grounds</w:t>
      </w:r>
      <w:r>
        <w:rPr>
          <w:rFonts w:ascii="Times New Roman" w:hAnsi="Times New Roman"/>
          <w:sz w:val="24"/>
        </w:rPr>
        <w:t>, 514 U.S. 669 (1995).</w:t>
      </w:r>
    </w:p>
    <w:p>
      <w:pPr>
        <w:spacing w:after="240"/>
        <w:ind w:firstLine="720"/>
      </w:pPr>
      <w:r>
        <w:rPr>
          <w:rFonts w:ascii="Times New Roman" w:hAnsi="Times New Roman"/>
          <w:i/>
          <w:sz w:val="24"/>
        </w:rPr>
        <w:t>Revised Dec.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