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6.13 Separate Consideration of Multiple Counts—Multiple Defendants</w:t>
      </w:r>
    </w:p>
    <w:p>
      <w:pPr>
        <w:spacing w:after="240"/>
        <w:ind w:firstLine="720"/>
      </w:pPr>
      <w:r>
        <w:rPr>
          <w:rFonts w:ascii="Times New Roman" w:hAnsi="Times New Roman"/>
          <w:sz w:val="24"/>
        </w:rPr>
        <w:t>A separate crime is charged against one or more of the defendants in each count. The charges have been joined for trial. You must decide the case of each defendant on each crime charged against that defendant separately. Your verdict on any count as to any defendant should not control your verdict on any other count or as to any other defendant.</w:t>
      </w:r>
    </w:p>
    <w:p>
      <w:pPr>
        <w:spacing w:after="240"/>
        <w:ind w:firstLine="720"/>
      </w:pPr>
      <w:r>
        <w:rPr>
          <w:rFonts w:ascii="Times New Roman" w:hAnsi="Times New Roman"/>
          <w:sz w:val="24"/>
        </w:rPr>
        <w:t>All the instructions apply to each defendant and to each count [unless a specific instruction states that it applies only to a specific [defendant] [count]].</w:t>
      </w:r>
    </w:p>
    <w:p>
      <w:pPr>
        <w:jc w:val="center"/>
      </w:pPr>
      <w:r>
        <w:rPr>
          <w:rFonts w:ascii="Times New Roman" w:hAnsi="Times New Roman"/>
          <w:b/>
          <w:sz w:val="24"/>
        </w:rPr>
        <w:t>Comment</w:t>
      </w:r>
    </w:p>
    <w:p>
      <w:pPr>
        <w:spacing w:after="240"/>
        <w:ind w:firstLine="720"/>
      </w:pPr>
      <w:r>
        <w:rPr>
          <w:rFonts w:ascii="Times New Roman" w:hAnsi="Times New Roman"/>
          <w:sz w:val="24"/>
        </w:rPr>
        <w:t>Use this instruction when there is more than one defendant charged with multiple counts. If the case involves multiple defendants charged with the same count, use Instruction 6.12 (Separate Consideration of Single Count</w:t>
      </w:r>
      <w:r>
        <w:rPr>
          <w:rFonts w:ascii="Times New Roman" w:hAnsi="Times New Roman"/>
          <w:b/>
          <w:sz w:val="24"/>
        </w:rPr>
        <w:t>—</w:t>
      </w:r>
      <w:r>
        <w:rPr>
          <w:rFonts w:ascii="Times New Roman" w:hAnsi="Times New Roman"/>
          <w:sz w:val="24"/>
        </w:rPr>
        <w:t>Multiple Defendants) instead. If one defendant has been charged with multiple counts, use Instruction 6.11 (Separate Consideration of Multiple Counts</w:t>
      </w:r>
      <w:r>
        <w:rPr>
          <w:rFonts w:ascii="Times New Roman" w:hAnsi="Times New Roman"/>
          <w:b/>
          <w:sz w:val="24"/>
        </w:rPr>
        <w:t>—</w:t>
      </w:r>
      <w:r>
        <w:rPr>
          <w:rFonts w:ascii="Times New Roman" w:hAnsi="Times New Roman"/>
          <w:sz w:val="24"/>
        </w:rPr>
        <w:t>Single Defendant).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