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8"/>
        </w:rPr>
        <w:t>6.23 Verdict Form</w:t>
      </w:r>
    </w:p>
    <w:p>
      <w:pPr>
        <w:spacing w:after="240"/>
        <w:ind w:firstLine="720"/>
      </w:pPr>
      <w:r>
        <w:rPr>
          <w:rFonts w:ascii="Times New Roman" w:hAnsi="Times New Roman"/>
          <w:sz w:val="24"/>
        </w:rPr>
        <w:t>A verdict form has been prepared for you. [</w:t>
      </w:r>
      <w:r>
        <w:rPr>
          <w:rFonts w:ascii="Times New Roman" w:hAnsi="Times New Roman"/>
          <w:i/>
          <w:sz w:val="24"/>
          <w:u w:val="single"/>
        </w:rPr>
        <w:t>Explain verdict form as needed.</w:t>
      </w:r>
      <w:r>
        <w:rPr>
          <w:rFonts w:ascii="Times New Roman" w:hAnsi="Times New Roman"/>
          <w:sz w:val="24"/>
        </w:rPr>
        <w:t>]  After you have reached unanimous agreement on a verdict, your [presiding juror] [foreperson] should complete the verdict form according to your deliberations, sign and date it, and advise the [clerk] [bailiff] that you are ready to return to the courtroom.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