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28"/>
        </w:rPr>
        <w:t>6.26 Script for Post-Allen Charge Inquiry</w:t>
      </w:r>
    </w:p>
    <w:p>
      <w:pPr>
        <w:jc w:val="center"/>
      </w:pPr>
      <w:r>
        <w:rPr>
          <w:rFonts w:ascii="Times New Roman" w:hAnsi="Times New Roman"/>
          <w:b/>
          <w:sz w:val="24"/>
        </w:rPr>
        <w:t>Comment</w:t>
      </w:r>
    </w:p>
    <w:p>
      <w:pPr>
        <w:spacing w:after="240"/>
        <w:ind w:firstLine="720"/>
      </w:pPr>
      <w:r>
        <w:rPr>
          <w:rFonts w:ascii="Times New Roman" w:hAnsi="Times New Roman"/>
          <w:sz w:val="24"/>
        </w:rPr>
        <w:t xml:space="preserve">If the jury indicates that it is deadlocked after an </w:t>
      </w:r>
      <w:r>
        <w:rPr>
          <w:rFonts w:ascii="Times New Roman" w:hAnsi="Times New Roman"/>
          <w:i/>
          <w:sz w:val="24"/>
        </w:rPr>
        <w:t xml:space="preserve">Allen </w:t>
      </w:r>
      <w:r>
        <w:rPr>
          <w:rFonts w:ascii="Times New Roman" w:hAnsi="Times New Roman"/>
          <w:sz w:val="24"/>
        </w:rPr>
        <w:t xml:space="preserve">charge is given, the Committee recommends polling the jury to confirm that they “cannot agree on a verdict on one or more counts,” Fed. R. Crim. P. 31(b)(3), and, thus, that there is a basis to declare a mistrial. As the Ninth Circuit noted in </w:t>
      </w:r>
      <w:r>
        <w:rPr>
          <w:rFonts w:ascii="Times New Roman" w:hAnsi="Times New Roman"/>
          <w:i/>
          <w:sz w:val="24"/>
        </w:rPr>
        <w:t>Brazzel v. Washington</w:t>
      </w:r>
      <w:r>
        <w:rPr>
          <w:rFonts w:ascii="Times New Roman" w:hAnsi="Times New Roman"/>
          <w:sz w:val="24"/>
        </w:rPr>
        <w:t>, 491 F.3d 976, 982 (9th Cir. 2007):</w:t>
      </w:r>
    </w:p>
    <w:p>
      <w:pPr>
        <w:spacing w:after="240"/>
        <w:ind w:firstLine="720"/>
      </w:pPr>
      <w:r>
        <w:rPr>
          <w:rFonts w:ascii="Times New Roman" w:hAnsi="Times New Roman"/>
          <w:sz w:val="24"/>
        </w:rPr>
        <w:t xml:space="preserve">A hung jury occurs when there is an irreconcilable disagreement among the jury members. A “high degree” of necessity is required to establish a mistrial due to the hopeless deadlock of jury members. </w:t>
      </w:r>
      <w:r>
        <w:rPr>
          <w:rFonts w:ascii="Times New Roman" w:hAnsi="Times New Roman"/>
          <w:i/>
          <w:sz w:val="24"/>
        </w:rPr>
        <w:t>See Arizona v. Washington,</w:t>
      </w:r>
      <w:r>
        <w:rPr>
          <w:rFonts w:ascii="Times New Roman" w:hAnsi="Times New Roman"/>
          <w:sz w:val="24"/>
        </w:rPr>
        <w:t xml:space="preserve"> 434 U.S. 497, 506 (1978). The record should reflect that the jury is “genuinely deadlocked.” </w:t>
      </w:r>
      <w:r>
        <w:rPr>
          <w:rFonts w:ascii="Times New Roman" w:hAnsi="Times New Roman"/>
          <w:i/>
          <w:sz w:val="24"/>
        </w:rPr>
        <w:t>Richardson v. United States</w:t>
      </w:r>
      <w:r>
        <w:rPr>
          <w:rFonts w:ascii="Times New Roman" w:hAnsi="Times New Roman"/>
          <w:sz w:val="24"/>
        </w:rPr>
        <w:t xml:space="preserve">, 468 U.S. 317, 324-25 (1984) (explaining that when a jury is genuinely deadlocked, the trial judge may declare a mistrial and require the defendant to submit to a second trial); </w:t>
      </w:r>
      <w:r>
        <w:rPr>
          <w:rFonts w:ascii="Times New Roman" w:hAnsi="Times New Roman"/>
          <w:i/>
          <w:sz w:val="24"/>
        </w:rPr>
        <w:t xml:space="preserve">see also Selvester </w:t>
      </w:r>
      <w:r>
        <w:rPr>
          <w:rFonts w:ascii="Times New Roman" w:hAnsi="Times New Roman"/>
          <w:sz w:val="24"/>
        </w:rPr>
        <w:t>[</w:t>
      </w:r>
      <w:r>
        <w:rPr>
          <w:rFonts w:ascii="Times New Roman" w:hAnsi="Times New Roman"/>
          <w:i/>
          <w:sz w:val="24"/>
        </w:rPr>
        <w:t>v. United States</w:t>
      </w:r>
      <w:r>
        <w:rPr>
          <w:rFonts w:ascii="Times New Roman" w:hAnsi="Times New Roman"/>
          <w:sz w:val="24"/>
        </w:rPr>
        <w:t>], 170 U.S. [262,] 270 [(1898)] (“But if, on the other hand, after the case had been submitted to the jury they reported their inability to agree, and the court made record of it and discharged them, such discharge would not be equivalent to an acquittal, since it would not bar the further prosecution.”).</w:t>
      </w:r>
    </w:p>
    <w:p>
      <w:pPr>
        <w:spacing w:after="240"/>
        <w:ind w:firstLine="720"/>
      </w:pPr>
      <w:r>
        <w:rPr>
          <w:rFonts w:ascii="Times New Roman" w:hAnsi="Times New Roman"/>
          <w:sz w:val="24"/>
        </w:rPr>
        <w:t>In</w:t>
      </w:r>
      <w:r>
        <w:rPr>
          <w:rFonts w:ascii="Times New Roman" w:hAnsi="Times New Roman"/>
          <w:i/>
          <w:sz w:val="24"/>
        </w:rPr>
        <w:t xml:space="preserve"> United States v. Hernandez-Guardado</w:t>
      </w:r>
      <w:r>
        <w:rPr>
          <w:rFonts w:ascii="Times New Roman" w:hAnsi="Times New Roman"/>
          <w:sz w:val="24"/>
        </w:rPr>
        <w:t xml:space="preserve">, 228 F.3d 1017 (9th Cir. 2000), the court noted that “[i]n determining whether to declare a mistrial because of jury deadlock, relevant factors for the district court to consider include the jury’s collective opinion that it cannot agree, the length of the trial and complexity of the issues, the length of time the jury has deliberated, whether the defendant has objected to a mistrial, and the effects of exhaustion or coercion on the jury.” </w:t>
      </w:r>
      <w:r>
        <w:rPr>
          <w:rFonts w:ascii="Times New Roman" w:hAnsi="Times New Roman"/>
          <w:i/>
          <w:sz w:val="24"/>
        </w:rPr>
        <w:t>Id</w:t>
      </w:r>
      <w:r>
        <w:rPr>
          <w:rFonts w:ascii="Times New Roman" w:hAnsi="Times New Roman"/>
          <w:sz w:val="24"/>
        </w:rPr>
        <w:t xml:space="preserve">. at 1029 (citing </w:t>
      </w:r>
      <w:r>
        <w:rPr>
          <w:rFonts w:ascii="Times New Roman" w:hAnsi="Times New Roman"/>
          <w:i/>
          <w:sz w:val="24"/>
        </w:rPr>
        <w:t>United States v. Cawley</w:t>
      </w:r>
      <w:r>
        <w:rPr>
          <w:rFonts w:ascii="Times New Roman" w:hAnsi="Times New Roman"/>
          <w:sz w:val="24"/>
        </w:rPr>
        <w:t xml:space="preserve">, 630 F.2d 1345, 1348-49 (9th Cir. 1980)). “The most critical factor is the jury’s own statement that it is unable to reach a verdict.” </w:t>
      </w:r>
      <w:r>
        <w:rPr>
          <w:rFonts w:ascii="Times New Roman" w:hAnsi="Times New Roman"/>
          <w:i/>
          <w:sz w:val="24"/>
        </w:rPr>
        <w:t>Cawley</w:t>
      </w:r>
      <w:r>
        <w:rPr>
          <w:rFonts w:ascii="Times New Roman" w:hAnsi="Times New Roman"/>
          <w:sz w:val="24"/>
        </w:rPr>
        <w:t xml:space="preserve">, 630 F.2d at 1349. “Without more, however, such a statement is insufficient to support a declaration of a mistrial.” </w:t>
      </w:r>
      <w:r>
        <w:rPr>
          <w:rFonts w:ascii="Times New Roman" w:hAnsi="Times New Roman"/>
          <w:i/>
          <w:sz w:val="24"/>
        </w:rPr>
        <w:t>Hernandez-Guardado</w:t>
      </w:r>
      <w:r>
        <w:rPr>
          <w:rFonts w:ascii="Times New Roman" w:hAnsi="Times New Roman"/>
          <w:sz w:val="24"/>
        </w:rPr>
        <w:t xml:space="preserve">, 228 F.3d at 1029. “On receiving word from the jury that it cannot reach a verdict, the district court must question the jury to determine independently whether further deliberations might overcome the deadlock.” </w:t>
      </w:r>
      <w:r>
        <w:rPr>
          <w:rFonts w:ascii="Times New Roman" w:hAnsi="Times New Roman"/>
          <w:i/>
          <w:sz w:val="24"/>
        </w:rPr>
        <w:t>Id</w:t>
      </w:r>
      <w:r>
        <w:rPr>
          <w:rFonts w:ascii="Times New Roman" w:hAnsi="Times New Roman"/>
          <w:sz w:val="24"/>
        </w:rPr>
        <w:t>.</w:t>
      </w:r>
    </w:p>
    <w:p>
      <w:pPr>
        <w:spacing w:after="240"/>
        <w:ind w:firstLine="720"/>
      </w:pPr>
      <w:r>
        <w:rPr>
          <w:rFonts w:ascii="Times New Roman" w:hAnsi="Times New Roman"/>
          <w:sz w:val="24"/>
        </w:rPr>
        <w:t>A suggested script for this purpose follows:</w:t>
      </w:r>
    </w:p>
    <w:p>
      <w:pPr>
        <w:spacing w:after="240"/>
        <w:ind w:firstLine="720"/>
      </w:pPr>
      <w:r>
        <w:rPr>
          <w:rFonts w:ascii="Times New Roman" w:hAnsi="Times New Roman"/>
          <w:sz w:val="24"/>
        </w:rPr>
        <w:t>“</w:t>
      </w:r>
      <w:r>
        <w:rPr>
          <w:rFonts w:ascii="Times New Roman" w:hAnsi="Times New Roman"/>
          <w:i/>
          <w:sz w:val="24"/>
        </w:rPr>
        <w:t xml:space="preserve">To the </w:t>
      </w:r>
      <w:r>
        <w:rPr>
          <w:rFonts w:ascii="Times New Roman" w:hAnsi="Times New Roman"/>
          <w:sz w:val="24"/>
        </w:rPr>
        <w:t>[</w:t>
      </w:r>
      <w:r>
        <w:rPr>
          <w:rFonts w:ascii="Times New Roman" w:hAnsi="Times New Roman"/>
          <w:i/>
          <w:sz w:val="24"/>
        </w:rPr>
        <w:t>Presiding Juror</w:t>
      </w:r>
      <w:r>
        <w:rPr>
          <w:rFonts w:ascii="Times New Roman" w:hAnsi="Times New Roman"/>
          <w:sz w:val="24"/>
        </w:rPr>
        <w:t>] [</w:t>
      </w:r>
      <w:r>
        <w:rPr>
          <w:rFonts w:ascii="Times New Roman" w:hAnsi="Times New Roman"/>
          <w:i/>
          <w:sz w:val="24"/>
        </w:rPr>
        <w:t>Foreperson</w:t>
      </w:r>
      <w:r>
        <w:rPr>
          <w:rFonts w:ascii="Times New Roman" w:hAnsi="Times New Roman"/>
          <w:sz w:val="24"/>
        </w:rPr>
        <w:t>]:  In your opinion, is the jury [[hopelessly deadlocked] [unable to agree on a verdict]] [as to one or more counts]?”</w:t>
      </w:r>
    </w:p>
    <w:p>
      <w:pPr>
        <w:spacing w:after="240"/>
        <w:ind w:firstLine="720"/>
      </w:pPr>
      <w:r>
        <w:rPr>
          <w:rFonts w:ascii="Times New Roman" w:hAnsi="Times New Roman"/>
          <w:sz w:val="24"/>
        </w:rPr>
        <w:t>“</w:t>
      </w:r>
      <w:r>
        <w:rPr>
          <w:rFonts w:ascii="Times New Roman" w:hAnsi="Times New Roman"/>
          <w:i/>
          <w:sz w:val="24"/>
        </w:rPr>
        <w:t>To all jurors</w:t>
      </w:r>
      <w:r>
        <w:rPr>
          <w:rFonts w:ascii="Times New Roman" w:hAnsi="Times New Roman"/>
          <w:sz w:val="24"/>
        </w:rPr>
        <w:t>:  If any of you disagree with the [Presiding Juror’s] [Foreperson’s] answer, please tell me now.”</w:t>
      </w:r>
    </w:p>
    <w:p>
      <w:pPr>
        <w:spacing w:after="240"/>
        <w:ind w:firstLine="720"/>
      </w:pPr>
      <w:r>
        <w:rPr>
          <w:rFonts w:ascii="Times New Roman" w:hAnsi="Times New Roman"/>
          <w:sz w:val="24"/>
        </w:rPr>
        <w:t>If the response to the first question is “yes,” then ask:</w:t>
      </w:r>
    </w:p>
    <w:p>
      <w:pPr>
        <w:spacing w:after="240"/>
        <w:ind w:firstLine="720"/>
      </w:pPr>
      <w:r>
        <w:rPr>
          <w:rFonts w:ascii="Times New Roman" w:hAnsi="Times New Roman"/>
          <w:sz w:val="24"/>
        </w:rPr>
        <w:t>“Is there a reasonable probability that the jury can reach a unanimous verdict if sent back to the jury room for further deliberation?”</w:t>
      </w:r>
    </w:p>
    <w:p>
      <w:pPr>
        <w:spacing w:after="240"/>
        <w:ind w:firstLine="720"/>
      </w:pPr>
      <w:r>
        <w:rPr>
          <w:rFonts w:ascii="Times New Roman" w:hAnsi="Times New Roman"/>
          <w:sz w:val="24"/>
        </w:rPr>
        <w:t>If the response is “no,” then ask the entire panel the following:</w:t>
      </w:r>
    </w:p>
    <w:p>
      <w:pPr>
        <w:spacing w:after="240"/>
        <w:ind w:firstLine="720"/>
      </w:pPr>
      <w:r>
        <w:rPr>
          <w:rFonts w:ascii="Times New Roman" w:hAnsi="Times New Roman"/>
          <w:sz w:val="24"/>
        </w:rPr>
        <w:t>“[</w:t>
      </w:r>
      <w:r>
        <w:rPr>
          <w:rFonts w:ascii="Times New Roman" w:hAnsi="Times New Roman"/>
          <w:i/>
          <w:sz w:val="24"/>
        </w:rPr>
        <w:t>To all jurors</w:t>
      </w:r>
      <w:r>
        <w:rPr>
          <w:rFonts w:ascii="Times New Roman" w:hAnsi="Times New Roman"/>
          <w:sz w:val="24"/>
        </w:rPr>
        <w:t>]:  Without stating where any juror stands, do any of you believe there is a reasonable probability that the jury can reach a unanimous verdict if sent back to the jury room for further deliberation?”</w:t>
      </w:r>
    </w:p>
    <w:p>
      <w:pPr>
        <w:spacing w:after="240"/>
        <w:ind w:firstLine="720"/>
      </w:pPr>
      <w:r>
        <w:rPr>
          <w:rFonts w:ascii="Times New Roman" w:hAnsi="Times New Roman"/>
          <w:i/>
          <w:sz w:val="24"/>
        </w:rPr>
        <w:t>See also</w:t>
      </w:r>
      <w:r>
        <w:rPr>
          <w:rFonts w:ascii="Times New Roman" w:hAnsi="Times New Roman"/>
          <w:sz w:val="24"/>
        </w:rPr>
        <w:t xml:space="preserve"> </w:t>
      </w:r>
      <w:r>
        <w:rPr>
          <w:rFonts w:ascii="Times New Roman" w:hAnsi="Times New Roman"/>
          <w:smallCaps/>
          <w:sz w:val="24"/>
        </w:rPr>
        <w:t>Jury Instructions Committee of the Ninth Circuit</w:t>
      </w:r>
      <w:r>
        <w:rPr>
          <w:rFonts w:ascii="Times New Roman" w:hAnsi="Times New Roman"/>
          <w:sz w:val="24"/>
        </w:rPr>
        <w:t xml:space="preserve">, </w:t>
      </w:r>
      <w:r>
        <w:rPr>
          <w:rFonts w:ascii="Times New Roman" w:hAnsi="Times New Roman"/>
          <w:smallCaps/>
          <w:sz w:val="24"/>
        </w:rPr>
        <w:t xml:space="preserve">A Manual on Jury Trial Procedures § 5.5 </w:t>
      </w:r>
      <w:r>
        <w:rPr>
          <w:rFonts w:ascii="Times New Roman" w:hAnsi="Times New Roman"/>
          <w:sz w:val="24"/>
        </w:rPr>
        <w:t>(2013).</w:t>
      </w:r>
    </w:p>
    <w:p>
      <w:pPr>
        <w:spacing w:after="240"/>
        <w:ind w:firstLine="720"/>
      </w:pPr>
      <w:r>
        <w:rPr>
          <w:rFonts w:ascii="Times New Roman" w:hAnsi="Times New Roman"/>
          <w:sz w:val="24"/>
        </w:rPr>
        <w:t xml:space="preserve">NOTE:  It is per se error to give a second </w:t>
      </w:r>
      <w:r>
        <w:rPr>
          <w:rFonts w:ascii="Times New Roman" w:hAnsi="Times New Roman"/>
          <w:i/>
          <w:sz w:val="24"/>
        </w:rPr>
        <w:t xml:space="preserve">Allen </w:t>
      </w:r>
      <w:r>
        <w:rPr>
          <w:rFonts w:ascii="Times New Roman" w:hAnsi="Times New Roman"/>
          <w:sz w:val="24"/>
        </w:rPr>
        <w:t xml:space="preserve">charge where the jury has not requested one, because the second </w:t>
      </w:r>
      <w:r>
        <w:rPr>
          <w:rFonts w:ascii="Times New Roman" w:hAnsi="Times New Roman"/>
          <w:i/>
          <w:sz w:val="24"/>
        </w:rPr>
        <w:t xml:space="preserve">Allen </w:t>
      </w:r>
      <w:r>
        <w:rPr>
          <w:rFonts w:ascii="Times New Roman" w:hAnsi="Times New Roman"/>
          <w:sz w:val="24"/>
        </w:rPr>
        <w:t xml:space="preserve">charge “conveys a message” of “impermissible coercion.” </w:t>
      </w:r>
      <w:r>
        <w:rPr>
          <w:rFonts w:ascii="Times New Roman" w:hAnsi="Times New Roman"/>
          <w:i/>
          <w:sz w:val="24"/>
        </w:rPr>
        <w:t>United States v. Evanston</w:t>
      </w:r>
      <w:r>
        <w:rPr>
          <w:rFonts w:ascii="Times New Roman" w:hAnsi="Times New Roman"/>
          <w:sz w:val="24"/>
        </w:rPr>
        <w:t>, 651 F.3d 1080, 1085 (9th Cir. 2011).</w:t>
      </w:r>
    </w:p>
    <w:p>
      <w:pPr>
        <w:spacing w:after="240"/>
        <w:ind w:firstLine="720"/>
      </w:pPr>
      <w:r>
        <w:rPr>
          <w:rFonts w:ascii="Times New Roman" w:hAnsi="Times New Roman"/>
          <w:i/>
          <w:sz w:val="24"/>
        </w:rPr>
        <w:t>Revised Sept. 2019</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