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6.27 Specific Issue Unanimity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“In the typical case, a . . . general unanimity instruction to the jury adequately protects a defendant’s right to a unanimous jury verdict.” </w:t>
      </w:r>
      <w:r>
        <w:rPr>
          <w:rFonts w:ascii="Times New Roman" w:hAnsi="Times New Roman"/>
          <w:i/>
          <w:sz w:val="24"/>
        </w:rPr>
        <w:t>United States v. Gonzalez</w:t>
      </w:r>
      <w:r>
        <w:rPr>
          <w:rFonts w:ascii="Times New Roman" w:hAnsi="Times New Roman"/>
          <w:sz w:val="24"/>
        </w:rPr>
        <w:t xml:space="preserve">, 786 F.3d 714, 717 (9th Cir. 2015) (citing </w:t>
      </w:r>
      <w:r>
        <w:rPr>
          <w:rFonts w:ascii="Times New Roman" w:hAnsi="Times New Roman"/>
          <w:i/>
          <w:sz w:val="24"/>
        </w:rPr>
        <w:t>United States v. Liu</w:t>
      </w:r>
      <w:r>
        <w:rPr>
          <w:rFonts w:ascii="Times New Roman" w:hAnsi="Times New Roman"/>
          <w:sz w:val="24"/>
        </w:rPr>
        <w:t>, 631 F.3d 993, 1000 (9th Cir. 2011)).</w:t>
      </w:r>
    </w:p>
    <w:p>
      <w:pPr>
        <w:spacing w:after="240"/>
        <w:ind w:firstLine="720"/>
      </w:pPr>
      <w:r>
        <w:rPr>
          <w:rFonts w:ascii="Times New Roman" w:hAnsi="Times New Roman"/>
          <w:sz w:val="24"/>
        </w:rPr>
        <w:t>“Courts must make a ‘threshold inquiry’ whether the ‘listed items’ in an ‘alternatively</w:t>
      </w:r>
    </w:p>
    <w:p>
      <w:pPr>
        <w:spacing w:after="240"/>
        <w:ind w:firstLine="720"/>
      </w:pPr>
      <w:r>
        <w:rPr>
          <w:rFonts w:ascii="Times New Roman" w:hAnsi="Times New Roman"/>
          <w:sz w:val="24"/>
        </w:rPr>
        <w:t xml:space="preserve">phrased’ statute are ‘elements or means.’” </w:t>
      </w:r>
      <w:r>
        <w:rPr>
          <w:rFonts w:ascii="Times New Roman" w:hAnsi="Times New Roman"/>
          <w:i/>
          <w:sz w:val="24"/>
        </w:rPr>
        <w:t>United States v. Mickey</w:t>
      </w:r>
      <w:r>
        <w:rPr>
          <w:rFonts w:ascii="Times New Roman" w:hAnsi="Times New Roman"/>
          <w:sz w:val="24"/>
        </w:rPr>
        <w:t xml:space="preserve">, 897 F.3d 1173, 1181 (9th Cir. 2018) (quoting </w:t>
      </w:r>
      <w:r>
        <w:rPr>
          <w:rFonts w:ascii="Times New Roman" w:hAnsi="Times New Roman"/>
          <w:i/>
          <w:sz w:val="24"/>
        </w:rPr>
        <w:t>Mathis v. United States</w:t>
      </w:r>
      <w:r>
        <w:rPr>
          <w:rFonts w:ascii="Times New Roman" w:hAnsi="Times New Roman"/>
          <w:sz w:val="24"/>
        </w:rPr>
        <w:t xml:space="preserve">, 136 S. Ct. 2243, 2256 (2016)); </w:t>
      </w:r>
      <w:r>
        <w:rPr>
          <w:rFonts w:ascii="Times New Roman" w:hAnsi="Times New Roman"/>
          <w:i/>
          <w:sz w:val="24"/>
        </w:rPr>
        <w:t>see also United States v. Barai</w:t>
      </w:r>
      <w:r>
        <w:rPr>
          <w:rFonts w:ascii="Times New Roman" w:hAnsi="Times New Roman"/>
          <w:sz w:val="24"/>
        </w:rPr>
        <w:t xml:space="preserve">, 55 F.4th 1245, 1249 (9th Cir. 2022) (“Calling a particular part of a statute an ‘element,’ as opposed to a ‘means,’ is legally significant.”). “[E]lements are those circumstances on which the jury must unanimously agree, while means are those circumstances on which the jury may disagree yet still convict.” </w:t>
      </w:r>
      <w:r>
        <w:rPr>
          <w:rFonts w:ascii="Times New Roman" w:hAnsi="Times New Roman"/>
          <w:i/>
          <w:sz w:val="24"/>
        </w:rPr>
        <w:t>Mickey</w:t>
      </w:r>
      <w:r>
        <w:rPr>
          <w:rFonts w:ascii="Times New Roman" w:hAnsi="Times New Roman"/>
          <w:sz w:val="24"/>
        </w:rPr>
        <w:t xml:space="preserve">, 897 F.3d at 1181(internal quotation marks, italics, and brackets omitted). Alternative elements require a specific unanimity instruction, while alternative means do not. </w:t>
      </w:r>
      <w:r>
        <w:rPr>
          <w:rFonts w:ascii="Times New Roman" w:hAnsi="Times New Roman"/>
          <w:i/>
          <w:sz w:val="24"/>
        </w:rPr>
        <w:t xml:space="preserve">See id. </w:t>
      </w:r>
      <w:r>
        <w:rPr>
          <w:rFonts w:ascii="Times New Roman" w:hAnsi="Times New Roman"/>
          <w:sz w:val="24"/>
        </w:rPr>
        <w:t xml:space="preserve">at 1181-82; </w:t>
      </w:r>
      <w:r>
        <w:rPr>
          <w:rFonts w:ascii="Times New Roman" w:hAnsi="Times New Roman"/>
          <w:i/>
          <w:sz w:val="24"/>
        </w:rPr>
        <w:t>see, e.g.</w:t>
      </w:r>
      <w:r>
        <w:rPr>
          <w:rFonts w:ascii="Times New Roman" w:hAnsi="Times New Roman"/>
          <w:sz w:val="24"/>
        </w:rPr>
        <w:t xml:space="preserve">, </w:t>
      </w:r>
      <w:r>
        <w:rPr>
          <w:rFonts w:ascii="Times New Roman" w:hAnsi="Times New Roman"/>
          <w:i/>
          <w:sz w:val="24"/>
        </w:rPr>
        <w:t>Barai</w:t>
      </w:r>
      <w:r>
        <w:rPr>
          <w:rFonts w:ascii="Times New Roman" w:hAnsi="Times New Roman"/>
          <w:sz w:val="24"/>
        </w:rPr>
        <w:t>, 55 F.4th at 1250 (holding district court did not abuse its discretion in declining to give specific unanimity instruction because “the listed alternatives of 18 U.S.C. § 1589(a) are factual means, rather than distinct legal elements”).</w:t>
      </w:r>
    </w:p>
    <w:p>
      <w:pPr>
        <w:spacing w:after="240"/>
        <w:ind w:firstLine="720"/>
      </w:pPr>
      <w:r>
        <w:rPr>
          <w:rFonts w:ascii="Times New Roman" w:hAnsi="Times New Roman"/>
          <w:sz w:val="24"/>
        </w:rPr>
        <w:t xml:space="preserve">Nonetheless, a specific unanimity instruction is required “if it appears that there is a genuine possibility of jury confusion or that a conviction may occur as the result of different jurors concluding that the defendant committed different acts.” </w:t>
      </w:r>
      <w:r>
        <w:rPr>
          <w:rFonts w:ascii="Times New Roman" w:hAnsi="Times New Roman"/>
          <w:i/>
          <w:sz w:val="24"/>
        </w:rPr>
        <w:t>Gonzalez</w:t>
      </w:r>
      <w:r>
        <w:rPr>
          <w:rFonts w:ascii="Times New Roman" w:hAnsi="Times New Roman"/>
          <w:sz w:val="24"/>
        </w:rPr>
        <w:t>, 786 F.3d at 717 (internal quotation marks omitted);</w:t>
      </w:r>
      <w:r>
        <w:rPr>
          <w:rFonts w:ascii="Times New Roman" w:hAnsi="Times New Roman"/>
          <w:i/>
          <w:sz w:val="24"/>
        </w:rPr>
        <w:t xml:space="preserve"> compare United States v. Echeverry</w:t>
      </w:r>
      <w:r>
        <w:rPr>
          <w:rFonts w:ascii="Times New Roman" w:hAnsi="Times New Roman"/>
          <w:sz w:val="24"/>
        </w:rPr>
        <w:t xml:space="preserve">, 719 F.2d 974, 975 (9th Cir. 1983) (holding that unanimity instruction regarding specific conspiracy should have been given in light of proof of multiple conspiracies) </w:t>
      </w:r>
      <w:r>
        <w:rPr>
          <w:rFonts w:ascii="Times New Roman" w:hAnsi="Times New Roman"/>
          <w:i/>
          <w:sz w:val="24"/>
        </w:rPr>
        <w:t>with</w:t>
      </w:r>
      <w:r>
        <w:rPr>
          <w:rFonts w:ascii="Times New Roman" w:hAnsi="Times New Roman"/>
          <w:sz w:val="24"/>
        </w:rPr>
        <w:t xml:space="preserve"> </w:t>
      </w:r>
      <w:r>
        <w:rPr>
          <w:rFonts w:ascii="Times New Roman" w:hAnsi="Times New Roman"/>
          <w:i/>
          <w:sz w:val="24"/>
        </w:rPr>
        <w:t>United States v. Kim</w:t>
      </w:r>
      <w:r>
        <w:rPr>
          <w:rFonts w:ascii="Times New Roman" w:hAnsi="Times New Roman"/>
          <w:sz w:val="24"/>
        </w:rPr>
        <w:t xml:space="preserve">, 196 F.3d 1079, 1082 (1999) (holding there was no abuse of discretion to decline to give specific unanimity instruction when the defendant was charged with a single crime based on single set of facts and where prohibited acts were merely alternative means by which defendant could be held criminally liable for underlying substantive offense). Thus, the Committee recommends the court consider the need for a specific unanimity instruction to avoid juror confusion if (1) the evidence is factually complex, (2) the indictment is broad or ambiguous, or (3) the jury’s questions indicate that it may be confused. </w:t>
      </w:r>
      <w:r>
        <w:rPr>
          <w:rFonts w:ascii="Times New Roman" w:hAnsi="Times New Roman"/>
          <w:i/>
          <w:sz w:val="24"/>
        </w:rPr>
        <w:t>See United States v. Anguiano</w:t>
      </w:r>
      <w:r>
        <w:rPr>
          <w:rFonts w:ascii="Times New Roman" w:hAnsi="Times New Roman"/>
          <w:sz w:val="24"/>
        </w:rPr>
        <w:t>, 873 F.2d 1314, 1319-21 (9th Cir. 1989). When the evidence establishes multiple conspiracies, failure to give a specific unanimity instruction may be plain error and the court may have a duty to</w:t>
      </w:r>
      <w:r>
        <w:rPr>
          <w:rFonts w:ascii="Times New Roman" w:hAnsi="Times New Roman"/>
          <w:i/>
          <w:sz w:val="24"/>
        </w:rPr>
        <w:t xml:space="preserve"> sua sponte</w:t>
      </w:r>
      <w:r>
        <w:rPr>
          <w:rFonts w:ascii="Times New Roman" w:hAnsi="Times New Roman"/>
          <w:sz w:val="24"/>
        </w:rPr>
        <w:t xml:space="preserve"> give the instruction requiring the jurors to unanimously agree on which conspiracy the defendant participated in. </w:t>
      </w:r>
      <w:r>
        <w:rPr>
          <w:rFonts w:ascii="Times New Roman" w:hAnsi="Times New Roman"/>
          <w:i/>
          <w:sz w:val="24"/>
        </w:rPr>
        <w:t>See United States v. Lapier</w:t>
      </w:r>
      <w:r>
        <w:rPr>
          <w:rFonts w:ascii="Times New Roman" w:hAnsi="Times New Roman"/>
          <w:sz w:val="24"/>
        </w:rPr>
        <w:t>, 796 F.3d 1090, 1093 (9th Cir. 2015) (holding that failure to give specific unanimity instruction was plain error because some jurors could have found defendant guilty of joining one conspiracy while other jurors could have found defendant guilty of joining second, completely independent conspiracy).</w:t>
      </w:r>
    </w:p>
    <w:p>
      <w:pPr>
        <w:spacing w:after="240"/>
        <w:ind w:firstLine="720"/>
      </w:pPr>
      <w:r>
        <w:rPr>
          <w:rFonts w:ascii="Times New Roman" w:hAnsi="Times New Roman"/>
          <w:sz w:val="24"/>
        </w:rPr>
        <w:t xml:space="preserve">A specific unanimity instruction may also be necessary to avoid constitutional error. For example, when self-defense is at issue, a jury must unanimously reject the defense to convict. </w:t>
      </w:r>
      <w:r>
        <w:rPr>
          <w:rFonts w:ascii="Times New Roman" w:hAnsi="Times New Roman"/>
          <w:i/>
          <w:sz w:val="24"/>
        </w:rPr>
        <w:t>See United States v. Ramirez</w:t>
      </w:r>
      <w:r>
        <w:rPr>
          <w:rFonts w:ascii="Times New Roman" w:hAnsi="Times New Roman"/>
          <w:sz w:val="24"/>
        </w:rPr>
        <w:t xml:space="preserve">, 537 F.3d 1075, 1083 (9th Cir. 2008) (approving instruction that included specific unanimity within self-defense instruction consistent with this instruction and Instruction 5.10 (Self-Defense)); </w:t>
      </w:r>
      <w:r>
        <w:rPr>
          <w:rFonts w:ascii="Times New Roman" w:hAnsi="Times New Roman"/>
          <w:i/>
          <w:sz w:val="24"/>
        </w:rPr>
        <w:t>see also Richardson</w:t>
      </w:r>
      <w:r>
        <w:rPr>
          <w:rFonts w:ascii="Times New Roman" w:hAnsi="Times New Roman"/>
          <w:sz w:val="24"/>
        </w:rPr>
        <w:t xml:space="preserve"> </w:t>
      </w:r>
      <w:r>
        <w:rPr>
          <w:rFonts w:ascii="Times New Roman" w:hAnsi="Times New Roman"/>
          <w:i/>
          <w:sz w:val="24"/>
        </w:rPr>
        <w:t>v. United States</w:t>
      </w:r>
      <w:r>
        <w:rPr>
          <w:rFonts w:ascii="Times New Roman" w:hAnsi="Times New Roman"/>
          <w:sz w:val="24"/>
        </w:rPr>
        <w:t xml:space="preserve">, 526 U.S. 813, 815 (1999) (continuing-criminal-enterprise prosecution requires unanimity as to specific violations that make up “continuing series of violations”); </w:t>
      </w:r>
      <w:r>
        <w:rPr>
          <w:rFonts w:ascii="Times New Roman" w:hAnsi="Times New Roman"/>
          <w:i/>
          <w:sz w:val="24"/>
        </w:rPr>
        <w:t>but see United States v. Nobari</w:t>
      </w:r>
      <w:r>
        <w:rPr>
          <w:rFonts w:ascii="Times New Roman" w:hAnsi="Times New Roman"/>
          <w:sz w:val="24"/>
        </w:rPr>
        <w:t>, 574 F.3d 1065, 1081 (9th Cir. 2009) (although unanimity is required to reject affirmative defense, specific unanimity instruction is not required for most affirmative defenses).</w:t>
      </w:r>
    </w:p>
    <w:p>
      <w:pPr>
        <w:spacing w:after="240"/>
        <w:ind w:firstLine="720"/>
      </w:pPr>
      <w:r>
        <w:rPr>
          <w:rFonts w:ascii="Times New Roman" w:hAnsi="Times New Roman"/>
          <w:sz w:val="24"/>
        </w:rPr>
        <w:t xml:space="preserve">A specific unanimity instruction is not required to distinguish an aiding and abetting theory of liability from the underlying substantive crime. </w:t>
      </w:r>
      <w:r>
        <w:rPr>
          <w:rFonts w:ascii="Times New Roman" w:hAnsi="Times New Roman"/>
          <w:i/>
          <w:sz w:val="24"/>
        </w:rPr>
        <w:t>See United States v. Garcia</w:t>
      </w:r>
      <w:r>
        <w:rPr>
          <w:rFonts w:ascii="Times New Roman" w:hAnsi="Times New Roman"/>
          <w:sz w:val="24"/>
        </w:rPr>
        <w:t xml:space="preserve">, 400 F.3d 816, 820 (9th Cir. 2005). Nor is one required as to a particular false promise in a mail fraud case or as to a particular theory of liability underlying a “scheme to defraud” so long as jurors are unanimous that the defendant committed the underlying substantive offense. </w:t>
      </w:r>
      <w:r>
        <w:rPr>
          <w:rFonts w:ascii="Times New Roman" w:hAnsi="Times New Roman"/>
          <w:i/>
          <w:sz w:val="24"/>
        </w:rPr>
        <w:t>United States v. Lyons</w:t>
      </w:r>
      <w:r>
        <w:rPr>
          <w:rFonts w:ascii="Times New Roman" w:hAnsi="Times New Roman"/>
          <w:sz w:val="24"/>
        </w:rPr>
        <w:t>, 472 F.3d 1055, 1068-69 (9th Cir. 2007),</w:t>
      </w:r>
      <w:r>
        <w:rPr>
          <w:rFonts w:ascii="Times New Roman" w:hAnsi="Times New Roman"/>
          <w:i/>
          <w:sz w:val="24"/>
        </w:rPr>
        <w:t xml:space="preserve"> overruling on other grounds recognized by Tamosaitis v. URS Inc.</w:t>
      </w:r>
      <w:r>
        <w:rPr>
          <w:rFonts w:ascii="Times New Roman" w:hAnsi="Times New Roman"/>
          <w:sz w:val="24"/>
        </w:rPr>
        <w:t>, 781 F.3d 468, 489 n.11 (9th Cir. 2015)</w:t>
      </w:r>
      <w:r>
        <w:rPr>
          <w:rFonts w:ascii="Times New Roman" w:hAnsi="Times New Roman"/>
          <w:i/>
          <w:sz w:val="24"/>
        </w:rPr>
        <w:t xml:space="preserve">. </w:t>
      </w:r>
      <w:r>
        <w:rPr>
          <w:rFonts w:ascii="Times New Roman" w:hAnsi="Times New Roman"/>
          <w:sz w:val="24"/>
        </w:rPr>
        <w:t xml:space="preserve">Likewise, jurors do not need to agree unanimously as to which particular act or actions constituted a substantial step toward the commission of a crime in a prosecution for an attempt to commit a crime. </w:t>
      </w:r>
      <w:r>
        <w:rPr>
          <w:rFonts w:ascii="Times New Roman" w:hAnsi="Times New Roman"/>
          <w:i/>
          <w:sz w:val="24"/>
        </w:rPr>
        <w:t>United States v. Hofus</w:t>
      </w:r>
      <w:r>
        <w:rPr>
          <w:rFonts w:ascii="Times New Roman" w:hAnsi="Times New Roman"/>
          <w:sz w:val="24"/>
        </w:rPr>
        <w:t xml:space="preserve">, 598 F.3d 1171, 1176 (9th Cir. 2010). Further, when a defendant is charged with “a single, continuous act of possession,” jurors need not reach unanimous agreement on the pieces of evidence they find persuasive in establishing that possession. </w:t>
      </w:r>
      <w:r>
        <w:rPr>
          <w:rFonts w:ascii="Times New Roman" w:hAnsi="Times New Roman"/>
          <w:i/>
          <w:sz w:val="24"/>
        </w:rPr>
        <w:t>United States v. Ruiz</w:t>
      </w:r>
      <w:r>
        <w:rPr>
          <w:rFonts w:ascii="Times New Roman" w:hAnsi="Times New Roman"/>
          <w:sz w:val="24"/>
        </w:rPr>
        <w:t xml:space="preserve">, 710 F.3d 1077, 1081-82 (9th Cir. 2013); </w:t>
      </w:r>
      <w:r>
        <w:rPr>
          <w:rFonts w:ascii="Times New Roman" w:hAnsi="Times New Roman"/>
          <w:i/>
          <w:sz w:val="24"/>
        </w:rPr>
        <w:t>see also United States v. Mancuso</w:t>
      </w:r>
      <w:r>
        <w:rPr>
          <w:rFonts w:ascii="Times New Roman" w:hAnsi="Times New Roman"/>
          <w:sz w:val="24"/>
        </w:rPr>
        <w:t>, 718 F.3d 780, 792-93 (9th Cir. 2013).</w:t>
      </w:r>
    </w:p>
    <w:p>
      <w:pPr>
        <w:spacing w:after="240"/>
        <w:ind w:firstLine="720"/>
      </w:pPr>
      <w:r>
        <w:rPr>
          <w:rFonts w:ascii="Times New Roman" w:hAnsi="Times New Roman"/>
          <w:sz w:val="24"/>
        </w:rPr>
        <w:t>When a specific unanimity instruction is necessary, the Committee recommends including in the substantive instruction the phrase “ . . . with all of you agreeing [</w:t>
      </w:r>
      <w:r>
        <w:rPr>
          <w:rFonts w:ascii="Times New Roman" w:hAnsi="Times New Roman"/>
          <w:i/>
          <w:sz w:val="24"/>
        </w:rPr>
        <w:t>as to the particular matter requiring unanimity</w:t>
      </w:r>
      <w:r>
        <w:rPr>
          <w:rFonts w:ascii="Times New Roman" w:hAnsi="Times New Roman"/>
          <w:sz w:val="24"/>
        </w:rPr>
        <w:t xml:space="preserve">].” </w:t>
      </w:r>
      <w:r>
        <w:rPr>
          <w:rFonts w:ascii="Times New Roman" w:hAnsi="Times New Roman"/>
          <w:i/>
          <w:sz w:val="24"/>
        </w:rPr>
        <w:t>See United States v. Garcia-Rivera</w:t>
      </w:r>
      <w:r>
        <w:rPr>
          <w:rFonts w:ascii="Times New Roman" w:hAnsi="Times New Roman"/>
          <w:sz w:val="24"/>
        </w:rPr>
        <w:t xml:space="preserve">, 353 F. 3d 788, 792 (9th Cir. 2003) (unanimity instruction “fatally ambiguous” when jury could have understood they were required to decide unanimously only that possession occurred during </w:t>
      </w:r>
      <w:r>
        <w:rPr>
          <w:rFonts w:ascii="Times New Roman" w:hAnsi="Times New Roman"/>
          <w:i/>
          <w:sz w:val="24"/>
        </w:rPr>
        <w:t>any</w:t>
      </w:r>
      <w:r>
        <w:rPr>
          <w:rFonts w:ascii="Times New Roman" w:hAnsi="Times New Roman"/>
          <w:sz w:val="24"/>
        </w:rPr>
        <w:t xml:space="preserve"> of three times enumerated).</w:t>
      </w:r>
    </w:p>
    <w:p>
      <w:pPr>
        <w:spacing w:after="240"/>
        <w:ind w:firstLine="720"/>
      </w:pPr>
      <w:r>
        <w:rPr>
          <w:rFonts w:ascii="Times New Roman" w:hAnsi="Times New Roman"/>
          <w:i/>
          <w:sz w:val="24"/>
        </w:rPr>
        <w:t>Revised March 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