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6.4 Defendant’s Decision to Testify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The defendant has testified. You should treat this testimony just as you would the testimony of any other witness.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 xml:space="preserve">See </w:t>
      </w:r>
      <w:r>
        <w:rPr>
          <w:rFonts w:ascii="Times New Roman" w:hAnsi="Times New Roman"/>
          <w:sz w:val="24"/>
        </w:rPr>
        <w:t>Instruction 6.3 (Defendant’s Decision Not to Testify) if the defendant does not testify.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