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8.6 Assault by Striking or Wounding (18 U.S.C § 113(a)(4))</w:t>
      </w:r>
    </w:p>
    <w:p>
      <w:pPr>
        <w:spacing w:after="240"/>
        <w:ind w:firstLine="720"/>
      </w:pPr>
      <w:r>
        <w:rPr>
          <w:rFonts w:ascii="Times New Roman" w:hAnsi="Times New Roman"/>
          <w:sz w:val="24"/>
        </w:rPr>
        <w:t>The defendant is charged in [Count _______ of] the information with assault by striking or wounding in violation of Section 113(a)(4) of Title 18 of the United States Code. For the defendant to be found guilty of that charge, the government must prove each of the following elements beyond a reasonable doubt:</w:t>
      </w:r>
    </w:p>
    <w:p>
      <w:pPr>
        <w:spacing w:after="240"/>
        <w:ind w:firstLine="720"/>
      </w:pPr>
      <w:r>
        <w:rPr>
          <w:rFonts w:ascii="Times New Roman" w:hAnsi="Times New Roman"/>
          <w:sz w:val="24"/>
        </w:rPr>
        <w:t>First, the defendant assaulted [</w:t>
      </w:r>
      <w:r>
        <w:rPr>
          <w:rFonts w:ascii="Times New Roman" w:hAnsi="Times New Roman"/>
          <w:i/>
          <w:sz w:val="24"/>
          <w:u w:val="single"/>
        </w:rPr>
        <w:t>name of victim</w:t>
      </w:r>
      <w:r>
        <w:rPr>
          <w:rFonts w:ascii="Times New Roman" w:hAnsi="Times New Roman"/>
          <w:sz w:val="24"/>
        </w:rPr>
        <w:t>] by intentionally [[striking] [wounding]] [[him]] [her]]; and</w:t>
      </w:r>
    </w:p>
    <w:p>
      <w:pPr>
        <w:spacing w:after="240"/>
        <w:ind w:firstLine="720"/>
      </w:pPr>
      <w:r>
        <w:rPr>
          <w:rFonts w:ascii="Times New Roman" w:hAnsi="Times New Roman"/>
          <w:sz w:val="24"/>
        </w:rPr>
        <w:t>Second, the assault took place on [</w:t>
      </w:r>
      <w:r>
        <w:rPr>
          <w:rFonts w:ascii="Times New Roman" w:hAnsi="Times New Roman"/>
          <w:i/>
          <w:sz w:val="24"/>
          <w:u w:val="single"/>
        </w:rPr>
        <w:t>specify place of federal jurisdiction</w:t>
      </w:r>
      <w:r>
        <w:rPr>
          <w:rFonts w:ascii="Times New Roman" w:hAnsi="Times New Roman"/>
          <w:sz w:val="24"/>
        </w:rPr>
        <w:t>].</w:t>
      </w:r>
    </w:p>
    <w:p>
      <w:pPr>
        <w:jc w:val="center"/>
      </w:pPr>
      <w:r>
        <w:rPr>
          <w:rFonts w:ascii="Times New Roman" w:hAnsi="Times New Roman"/>
          <w:b/>
          <w:sz w:val="24"/>
        </w:rPr>
        <w:t>Comment</w:t>
      </w:r>
    </w:p>
    <w:p>
      <w:pPr>
        <w:spacing w:after="240"/>
        <w:ind w:firstLine="720"/>
      </w:pPr>
      <w:r>
        <w:rPr>
          <w:rFonts w:ascii="Times New Roman" w:hAnsi="Times New Roman"/>
          <w:i/>
          <w:sz w:val="24"/>
        </w:rPr>
        <w:t>See United States v. Pierre</w:t>
      </w:r>
      <w:r>
        <w:rPr>
          <w:rFonts w:ascii="Times New Roman" w:hAnsi="Times New Roman"/>
          <w:sz w:val="24"/>
        </w:rPr>
        <w:t>, 254 F.3d 872, 875 (9th Cir. 2001) (holding that assault by</w:t>
      </w:r>
    </w:p>
    <w:p>
      <w:pPr>
        <w:spacing w:after="240"/>
        <w:ind w:firstLine="720"/>
      </w:pPr>
      <w:r>
        <w:rPr>
          <w:rFonts w:ascii="Times New Roman" w:hAnsi="Times New Roman"/>
          <w:sz w:val="24"/>
        </w:rPr>
        <w:t>striking, beating, or wounding is not lesser included offense of assault with dangerous weapon).</w:t>
      </w:r>
    </w:p>
    <w:p>
      <w:pPr>
        <w:spacing w:after="240"/>
        <w:ind w:firstLine="720"/>
      </w:pPr>
      <w:r>
        <w:rPr>
          <w:rFonts w:ascii="Times New Roman" w:hAnsi="Times New Roman"/>
          <w:i/>
          <w:sz w:val="24"/>
        </w:rPr>
        <w:t>Revised September 2025</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