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9.9 Hobbs Act—Affecting Interstate Commerce</w:t>
      </w:r>
    </w:p>
    <w:p>
      <w:pPr>
        <w:jc w:val="center"/>
      </w:pPr>
      <w:r>
        <w:rPr>
          <w:rFonts w:ascii="Times New Roman" w:hAnsi="Times New Roman"/>
          <w:b/>
          <w:sz w:val="24"/>
        </w:rPr>
        <w:t>Comment</w:t>
      </w:r>
    </w:p>
    <w:p>
      <w:pPr>
        <w:spacing w:after="240"/>
        <w:ind w:firstLine="720"/>
      </w:pPr>
      <w:r>
        <w:rPr>
          <w:rFonts w:ascii="Times New Roman" w:hAnsi="Times New Roman"/>
          <w:sz w:val="24"/>
        </w:rPr>
        <w:t>To convict the defendant of [</w:t>
      </w:r>
      <w:r>
        <w:rPr>
          <w:rFonts w:ascii="Times New Roman" w:hAnsi="Times New Roman"/>
          <w:i/>
          <w:sz w:val="24"/>
          <w:u w:val="single"/>
        </w:rPr>
        <w:t>specify crime</w:t>
      </w:r>
      <w:r>
        <w:rPr>
          <w:rFonts w:ascii="Times New Roman" w:hAnsi="Times New Roman"/>
          <w:sz w:val="24"/>
        </w:rPr>
        <w:t>], the government must prove that the defendant’s conduct affected or could have affected interstate commerce. Conduct affects interstate commerce if it in any way involves, interferes with, changes, or alters the movement or transportation or flow of goods, merchandise, money, or other property in commerce between or among the states or between the United States and a foreign country. The effect can be minimal.</w:t>
      </w:r>
    </w:p>
    <w:p>
      <w:pPr>
        <w:spacing w:after="240"/>
        <w:ind w:firstLine="720"/>
      </w:pPr>
      <w:r>
        <w:rPr>
          <w:rFonts w:ascii="Times New Roman" w:hAnsi="Times New Roman"/>
          <w:sz w:val="24"/>
        </w:rPr>
        <w:t>It is not necessary for the government to prove that the defendant knew or intended that [his] [her] conduct would affect commerce; it must prove only that the natural consequences of [his] [her] conduct affected commerce in some way. Also, you do not have to find that there was an actual effect on commerce. The government must show only that the natural result of the offense would be to cause an effect on interstate commerce to any degree, however minimal or slight.</w:t>
      </w:r>
    </w:p>
    <w:p>
      <w:pPr>
        <w:spacing w:after="240"/>
        <w:ind w:firstLine="720"/>
      </w:pPr>
      <w:r>
        <w:rPr>
          <w:rFonts w:ascii="Times New Roman" w:hAnsi="Times New Roman"/>
          <w:i/>
          <w:sz w:val="24"/>
        </w:rPr>
        <w:t>See</w:t>
      </w:r>
      <w:r>
        <w:rPr>
          <w:rFonts w:ascii="Times New Roman" w:hAnsi="Times New Roman"/>
          <w:sz w:val="24"/>
        </w:rPr>
        <w:t xml:space="preserve"> </w:t>
      </w:r>
      <w:r>
        <w:rPr>
          <w:rFonts w:ascii="Times New Roman" w:hAnsi="Times New Roman"/>
          <w:i/>
          <w:sz w:val="24"/>
        </w:rPr>
        <w:t>United States v. Woodberry</w:t>
      </w:r>
      <w:r>
        <w:rPr>
          <w:rFonts w:ascii="Times New Roman" w:hAnsi="Times New Roman"/>
          <w:sz w:val="24"/>
        </w:rPr>
        <w:t xml:space="preserve">, 987 F.3d 1231, 1235 (9th Cir. 2021); </w:t>
      </w:r>
      <w:r>
        <w:rPr>
          <w:rFonts w:ascii="Times New Roman" w:hAnsi="Times New Roman"/>
          <w:i/>
          <w:sz w:val="24"/>
        </w:rPr>
        <w:t>see generally</w:t>
      </w:r>
      <w:r>
        <w:rPr>
          <w:rFonts w:ascii="Times New Roman" w:hAnsi="Times New Roman"/>
          <w:sz w:val="24"/>
        </w:rPr>
        <w:t xml:space="preserve"> </w:t>
      </w:r>
      <w:r>
        <w:rPr>
          <w:rFonts w:ascii="Times New Roman" w:hAnsi="Times New Roman"/>
          <w:i/>
          <w:sz w:val="24"/>
        </w:rPr>
        <w:t>United States v. Tuan Ngoc Luong</w:t>
      </w:r>
      <w:r>
        <w:rPr>
          <w:rFonts w:ascii="Times New Roman" w:hAnsi="Times New Roman"/>
          <w:sz w:val="24"/>
        </w:rPr>
        <w:t>, 965 F.3d 973, 986 (9th Cir. 2020) (holding that district court did not err by instruction that “[a]n effect on interstate commerce is established by proof of an actual impact, however small, or in the absence of an actual impact, proof of a probable or potential impact. This impact can be slight, but not speculative.”).</w:t>
      </w:r>
    </w:p>
    <w:p>
      <w:pPr>
        <w:spacing w:after="240"/>
        <w:ind w:firstLine="720"/>
      </w:pPr>
      <w:r>
        <w:rPr>
          <w:rFonts w:ascii="Times New Roman" w:hAnsi="Times New Roman"/>
          <w:i/>
          <w:sz w:val="24"/>
        </w:rPr>
        <w:t>Revised Mar. 2021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